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31"/>
        <w:jc w:val="center"/>
        <w:rPr>
          <w:rFonts w:ascii="Calibri Light" w:cs="Arial" w:hAnsi="Calibri Light"/>
          <w:b/>
          <w:bCs/>
        </w:rPr>
      </w:pPr>
      <w:r>
        <w:rPr>
          <w:rFonts w:ascii="Calibri Light" w:cs="Arial" w:hAnsi="Calibri Light"/>
          <w:b/>
          <w:bCs/>
        </w:rPr>
        <w:t>Royaume du Maroc</w:t>
      </w:r>
    </w:p>
    <w:p>
      <w:pPr>
        <w:pStyle w:val="style31"/>
        <w:rPr>
          <w:rFonts w:ascii="Calibri Light" w:cs="Arial" w:hAnsi="Calibri Light"/>
          <w:b/>
          <w:bCs/>
          <w:sz w:val="2"/>
          <w:szCs w:val="2"/>
        </w:rPr>
      </w:pPr>
    </w:p>
    <w:p>
      <w:pPr>
        <w:pStyle w:val="style31"/>
        <w:jc w:val="center"/>
        <w:rPr>
          <w:rFonts w:ascii="Calibri Light" w:cs="Arial" w:hAnsi="Calibri Light"/>
          <w:b/>
          <w:bCs/>
          <w:sz w:val="18"/>
          <w:szCs w:val="18"/>
        </w:rPr>
      </w:pPr>
      <w:r>
        <w:rPr>
          <w:rFonts w:cs="Arial" w:hAnsi="Arial" w:hint="cs"/>
          <w:b/>
          <w:bCs/>
          <w:noProof/>
          <w:color w:val="0d0d0d"/>
          <w:kern w:val="24"/>
          <w:lang w:eastAsia="fr-FR"/>
        </w:rPr>
        <w:drawing>
          <wp:inline distL="0" distT="0" distB="0" distR="0">
            <wp:extent cx="628650" cy="682315"/>
            <wp:effectExtent l="0" t="0" r="0" b="3810"/>
            <wp:docPr id="1026" name="Imag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2" cstate="print"/>
                    <a:srcRect l="0" t="0" r="0" b="0"/>
                    <a:stretch/>
                  </pic:blipFill>
                  <pic:spPr>
                    <a:xfrm rot="0">
                      <a:off x="0" y="0"/>
                      <a:ext cx="628650" cy="682315"/>
                    </a:xfrm>
                    <a:prstGeom prst="rect"/>
                    <a:ln>
                      <a:noFill/>
                    </a:ln>
                  </pic:spPr>
                </pic:pic>
              </a:graphicData>
            </a:graphic>
          </wp:inline>
        </w:drawing>
      </w:r>
    </w:p>
    <w:p>
      <w:pPr>
        <w:pStyle w:val="style31"/>
        <w:jc w:val="center"/>
        <w:rPr>
          <w:rFonts w:ascii="Calibri Light" w:cs="Arial" w:hAnsi="Calibri Light"/>
          <w:b/>
          <w:bCs/>
          <w:sz w:val="20"/>
          <w:szCs w:val="20"/>
        </w:rPr>
      </w:pPr>
      <w:r>
        <w:rPr>
          <w:rFonts w:ascii="Calibri Light" w:cs="Arial" w:hAnsi="Calibri Light"/>
          <w:b/>
          <w:bCs/>
          <w:sz w:val="20"/>
          <w:szCs w:val="20"/>
        </w:rPr>
        <w:t>Ministère de l’Aménagement du Territoire National,</w:t>
      </w:r>
    </w:p>
    <w:p>
      <w:pPr>
        <w:pStyle w:val="style31"/>
        <w:spacing w:lineRule="auto" w:line="360"/>
        <w:jc w:val="center"/>
        <w:rPr>
          <w:rFonts w:ascii="Calibri Light" w:cs="Arial" w:hAnsi="Calibri Light"/>
          <w:b/>
          <w:bCs/>
          <w:sz w:val="20"/>
          <w:szCs w:val="20"/>
        </w:rPr>
      </w:pPr>
      <w:r>
        <w:rPr>
          <w:rFonts w:ascii="Calibri Light" w:cs="Arial" w:hAnsi="Calibri Light"/>
          <w:b/>
          <w:bCs/>
          <w:noProof/>
          <w:color w:val="92d050"/>
          <w:sz w:val="20"/>
          <w:szCs w:val="20"/>
          <w:lang w:eastAsia="fr-FR"/>
        </w:rPr>
        <mc:AlternateContent>
          <mc:Choice Requires="wps">
            <w:drawing>
              <wp:anchor distT="0" distB="0" distL="0" distR="0" simplePos="false" relativeHeight="2" behindDoc="false" locked="false" layoutInCell="true" allowOverlap="true">
                <wp:simplePos x="0" y="0"/>
                <wp:positionH relativeFrom="margin">
                  <wp:posOffset>1823085</wp:posOffset>
                </wp:positionH>
                <wp:positionV relativeFrom="paragraph">
                  <wp:posOffset>205105</wp:posOffset>
                </wp:positionV>
                <wp:extent cx="2004059" cy="0"/>
                <wp:effectExtent l="0" t="0" r="34290" b="19050"/>
                <wp:wrapNone/>
                <wp:docPr id="1027" name="Connecteur droit avec flèche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4059" cy="0"/>
                        </a:xfrm>
                        <a:prstGeom prst="straightConnector1"/>
                        <a:ln cmpd="sng" cap="flat" w="6350">
                          <a:solidFill>
                            <a:srgbClr val="548135"/>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1027" type="#_x0000_t32" filled="f" style="position:absolute;margin-left:143.55pt;margin-top:16.15pt;width:157.8pt;height:0.0pt;z-index:2;mso-position-horizontal-relative:margin;mso-position-vertical-relative:text;mso-width-percent:0;mso-height-percent:0;mso-width-relative:page;mso-height-relative:page;mso-wrap-distance-left:0.0pt;mso-wrap-distance-right:0.0pt;visibility:visible;">
                <v:stroke color="#548135" weight="0.5pt"/>
                <v:fill/>
              </v:shape>
            </w:pict>
          </mc:Fallback>
        </mc:AlternateContent>
      </w:r>
      <w:r>
        <w:rPr>
          <w:rFonts w:ascii="Calibri Light" w:cs="Arial" w:hAnsi="Calibri Light"/>
          <w:b/>
          <w:bCs/>
          <w:sz w:val="20"/>
          <w:szCs w:val="20"/>
        </w:rPr>
        <w:t>de</w:t>
      </w:r>
      <w:r>
        <w:rPr>
          <w:rFonts w:ascii="Calibri Light" w:cs="Arial" w:hAnsi="Calibri Light"/>
          <w:b/>
          <w:bCs/>
          <w:sz w:val="20"/>
          <w:szCs w:val="20"/>
        </w:rPr>
        <w:t xml:space="preserve"> l’Urbanisme, de l’Habitat et de la Politique de la Ville</w:t>
      </w:r>
    </w:p>
    <w:p>
      <w:pPr>
        <w:pStyle w:val="style31"/>
        <w:spacing w:lineRule="auto" w:line="360"/>
        <w:jc w:val="center"/>
        <w:rPr>
          <w:rFonts w:ascii="Calibri Light" w:cs="Arial" w:hAnsi="Calibri Light"/>
          <w:color w:val="595959"/>
          <w:sz w:val="20"/>
          <w:szCs w:val="20"/>
          <w:rtl/>
        </w:rPr>
      </w:pPr>
    </w:p>
    <w:p>
      <w:pPr>
        <w:pStyle w:val="style179"/>
        <w:shd w:val="clear" w:color="auto" w:fill="1f4e79"/>
        <w:spacing w:before="120" w:after="120" w:lineRule="auto" w:line="240"/>
        <w:ind w:left="0" w:right="-2"/>
        <w:jc w:val="center"/>
        <w:rPr>
          <w:rFonts w:cs="Calibri"/>
          <w:b/>
          <w:bCs/>
          <w:color w:val="ffffff"/>
          <w:sz w:val="30"/>
          <w:szCs w:val="30"/>
        </w:rPr>
      </w:pPr>
      <w:r>
        <w:rPr>
          <w:rFonts w:cs="Calibri"/>
          <w:b/>
          <w:bCs/>
          <w:color w:val="ffffff"/>
          <w:sz w:val="30"/>
          <w:szCs w:val="30"/>
        </w:rPr>
        <w:t>Communiqué de presse</w:t>
      </w:r>
    </w:p>
    <w:p>
      <w:pPr>
        <w:pStyle w:val="style0"/>
        <w:spacing w:after="120" w:lineRule="auto" w:line="240"/>
        <w:ind w:right="-2"/>
        <w:jc w:val="both"/>
        <w:contextualSpacing/>
        <w:rPr>
          <w:rFonts w:ascii="Calibri Light" w:cs="Calibri Light" w:hAnsi="Calibri Light"/>
          <w:color w:val="202124"/>
          <w:sz w:val="21"/>
          <w:szCs w:val="21"/>
        </w:rPr>
      </w:pPr>
    </w:p>
    <w:p>
      <w:pPr>
        <w:pStyle w:val="style0"/>
        <w:spacing w:before="120" w:after="120" w:lineRule="auto" w:line="276"/>
        <w:jc w:val="center"/>
        <w:contextualSpacing/>
        <w:rPr>
          <w:rFonts w:ascii="Times New Roman" w:cs="Times New Roman" w:hAnsi="Times New Roman"/>
          <w:b/>
          <w:bCs/>
          <w:color w:val="1f3864"/>
          <w:sz w:val="28"/>
          <w:szCs w:val="28"/>
        </w:rPr>
      </w:pPr>
      <w:r>
        <w:rPr>
          <w:rFonts w:ascii="Times New Roman" w:cs="Times New Roman" w:hAnsi="Times New Roman"/>
          <w:b/>
          <w:bCs/>
          <w:color w:val="1f3864"/>
          <w:sz w:val="28"/>
          <w:szCs w:val="28"/>
        </w:rPr>
        <w:t xml:space="preserve">Attestation </w:t>
      </w:r>
      <w:r>
        <w:rPr>
          <w:rFonts w:ascii="Times New Roman" w:cs="Times New Roman" w:hAnsi="Times New Roman"/>
          <w:b/>
          <w:bCs/>
          <w:color w:val="1f3864"/>
          <w:sz w:val="28"/>
          <w:szCs w:val="28"/>
        </w:rPr>
        <w:t>de la vocation non agricole</w:t>
      </w:r>
      <w:r>
        <w:rPr>
          <w:rFonts w:ascii="Times New Roman" w:cs="Times New Roman" w:hAnsi="Times New Roman"/>
          <w:b/>
          <w:bCs/>
          <w:color w:val="1f3864"/>
          <w:sz w:val="28"/>
          <w:szCs w:val="28"/>
        </w:rPr>
        <w:t xml:space="preserve"> des terrains</w:t>
      </w:r>
      <w:r>
        <w:rPr>
          <w:rFonts w:ascii="Times New Roman" w:cs="Times New Roman" w:hAnsi="Times New Roman"/>
          <w:b/>
          <w:bCs/>
          <w:color w:val="1f3864"/>
          <w:sz w:val="28"/>
          <w:szCs w:val="28"/>
        </w:rPr>
        <w:t xml:space="preserve">: Publication d’une circulaire conjointe entre le Ministère de l’Aménagement du Territoire National, de l’Urbanisme, de l’Habitat et de la Politique de la Ville, le Ministère de l’Intérieur et  le Ministère de l’Agriculture, de la Pêche Maritime, du Développement Rural et des Eaux et Forêts </w:t>
      </w:r>
    </w:p>
    <w:p>
      <w:pPr>
        <w:pStyle w:val="style0"/>
        <w:spacing w:before="120" w:after="120" w:lineRule="auto" w:line="276"/>
        <w:jc w:val="both"/>
        <w:contextualSpacing/>
        <w:rPr>
          <w:rFonts w:ascii="Times New Roman" w:cs="Times New Roman" w:hAnsi="Times New Roman"/>
          <w:sz w:val="28"/>
          <w:szCs w:val="28"/>
        </w:rPr>
      </w:pPr>
    </w:p>
    <w:p>
      <w:pPr>
        <w:pStyle w:val="style0"/>
        <w:spacing w:before="120" w:after="120" w:lineRule="auto" w:line="276"/>
        <w:jc w:val="both"/>
        <w:contextualSpacing/>
        <w:rPr>
          <w:rFonts w:ascii="Times New Roman" w:cs="Times New Roman" w:hAnsi="Times New Roman"/>
          <w:sz w:val="28"/>
          <w:szCs w:val="28"/>
        </w:rPr>
      </w:pPr>
      <w:r>
        <w:rPr>
          <w:rFonts w:ascii="Times New Roman" w:cs="Times New Roman" w:hAnsi="Times New Roman"/>
          <w:sz w:val="28"/>
          <w:szCs w:val="28"/>
        </w:rPr>
        <w:t>Dans le cadre de la mise en œuvre</w:t>
      </w:r>
      <w:r>
        <w:rPr>
          <w:rFonts w:ascii="Times New Roman" w:cs="Times New Roman" w:hAnsi="Times New Roman"/>
          <w:sz w:val="28"/>
          <w:szCs w:val="28"/>
        </w:rPr>
        <w:t xml:space="preserve"> des Hautes I</w:t>
      </w:r>
      <w:r>
        <w:rPr>
          <w:rFonts w:ascii="Times New Roman" w:cs="Times New Roman" w:hAnsi="Times New Roman"/>
          <w:sz w:val="28"/>
          <w:szCs w:val="28"/>
        </w:rPr>
        <w:t xml:space="preserve">nstructions Royales, visant </w:t>
      </w:r>
      <w:r>
        <w:rPr>
          <w:rFonts w:ascii="Times New Roman" w:cs="Times New Roman" w:hAnsi="Times New Roman"/>
          <w:sz w:val="28"/>
          <w:szCs w:val="28"/>
        </w:rPr>
        <w:t>le développement du monde rural ainsi que l’encouragement de l’investissement productif afin de créer de l’emploi et de la richesse et de faire émerger une classe moyenne rurale, levier de développement socio-économique</w:t>
      </w:r>
      <w:r>
        <w:rPr>
          <w:rFonts w:ascii="Times New Roman" w:cs="Times New Roman" w:hAnsi="Times New Roman"/>
          <w:sz w:val="28"/>
          <w:szCs w:val="28"/>
        </w:rPr>
        <w:t xml:space="preserve">, </w:t>
      </w:r>
      <w:r>
        <w:rPr>
          <w:rFonts w:ascii="Times New Roman" w:cs="Times New Roman" w:hAnsi="Times New Roman"/>
          <w:sz w:val="28"/>
          <w:szCs w:val="28"/>
        </w:rPr>
        <w:t xml:space="preserve">le Ministère </w:t>
      </w:r>
      <w:r>
        <w:rPr>
          <w:rFonts w:ascii="Times New Roman" w:cs="Times New Roman" w:hAnsi="Times New Roman"/>
          <w:sz w:val="28"/>
          <w:szCs w:val="28"/>
        </w:rPr>
        <w:t>de l’Aménagement du Territoire National, de l’Urbanisme, de l’Habitat et de la Politique de la Ville</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le</w:t>
      </w:r>
      <w:r>
        <w:rPr>
          <w:rFonts w:ascii="Times New Roman" w:cs="Times New Roman" w:hAnsi="Times New Roman"/>
          <w:sz w:val="28"/>
          <w:szCs w:val="28"/>
        </w:rPr>
        <w:t xml:space="preserve"> Minist</w:t>
      </w:r>
      <w:r>
        <w:rPr>
          <w:rFonts w:ascii="Times New Roman" w:cs="Times New Roman" w:hAnsi="Times New Roman"/>
          <w:sz w:val="28"/>
          <w:szCs w:val="28"/>
        </w:rPr>
        <w:t>è</w:t>
      </w:r>
      <w:r>
        <w:rPr>
          <w:rFonts w:ascii="Times New Roman" w:cs="Times New Roman" w:hAnsi="Times New Roman"/>
          <w:sz w:val="28"/>
          <w:szCs w:val="28"/>
        </w:rPr>
        <w:t>re de l’Intérieur</w:t>
      </w:r>
      <w:r>
        <w:rPr>
          <w:rFonts w:ascii="Times New Roman" w:cs="Times New Roman" w:hAnsi="Times New Roman"/>
          <w:sz w:val="28"/>
          <w:szCs w:val="28"/>
        </w:rPr>
        <w:t xml:space="preserve"> </w:t>
      </w:r>
      <w:r>
        <w:rPr>
          <w:rFonts w:ascii="Times New Roman" w:cs="Times New Roman" w:hAnsi="Times New Roman"/>
          <w:sz w:val="28"/>
          <w:szCs w:val="28"/>
        </w:rPr>
        <w:t xml:space="preserve">et  le Ministère de l’Agriculture, de la Pêche Maritime, du Développement Rural et des Eaux et Forêts </w:t>
      </w:r>
      <w:r>
        <w:rPr>
          <w:rFonts w:ascii="Times New Roman" w:cs="Times New Roman" w:hAnsi="Times New Roman"/>
          <w:sz w:val="28"/>
          <w:szCs w:val="28"/>
        </w:rPr>
        <w:t xml:space="preserve">ont publié, le </w:t>
      </w:r>
      <w:r>
        <w:rPr>
          <w:rFonts w:ascii="Times New Roman" w:cs="Times New Roman" w:hAnsi="Times New Roman"/>
          <w:sz w:val="28"/>
          <w:szCs w:val="28"/>
        </w:rPr>
        <w:t xml:space="preserve">29 avril 2022, une circulaire conjointe </w:t>
      </w:r>
      <w:r>
        <w:rPr>
          <w:rFonts w:ascii="Times New Roman" w:cs="Times New Roman" w:hAnsi="Times New Roman"/>
          <w:sz w:val="28"/>
          <w:szCs w:val="28"/>
        </w:rPr>
        <w:t>relative à la délivrance de l’attestation de la vocation non agricole</w:t>
      </w:r>
      <w:r>
        <w:rPr>
          <w:rFonts w:ascii="Times New Roman" w:cs="Times New Roman" w:hAnsi="Times New Roman"/>
          <w:sz w:val="28"/>
          <w:szCs w:val="28"/>
        </w:rPr>
        <w:t xml:space="preserve"> (AVNA)</w:t>
      </w:r>
      <w:r>
        <w:rPr>
          <w:rFonts w:ascii="Times New Roman" w:cs="Times New Roman" w:hAnsi="Times New Roman"/>
          <w:sz w:val="28"/>
          <w:szCs w:val="28"/>
        </w:rPr>
        <w:t>. Cette circulaire a été</w:t>
      </w:r>
      <w:r>
        <w:rPr>
          <w:rFonts w:ascii="Times New Roman" w:cs="Times New Roman" w:hAnsi="Times New Roman"/>
          <w:sz w:val="28"/>
          <w:szCs w:val="28"/>
        </w:rPr>
        <w:t xml:space="preserve"> </w:t>
      </w:r>
      <w:r>
        <w:rPr>
          <w:rFonts w:ascii="Times New Roman" w:cs="Times New Roman" w:hAnsi="Times New Roman"/>
          <w:sz w:val="28"/>
          <w:szCs w:val="28"/>
        </w:rPr>
        <w:t xml:space="preserve">adressée à Mesdames et Messieurs les Walis des Régions, les </w:t>
      </w:r>
      <w:r>
        <w:rPr>
          <w:rFonts w:ascii="Times New Roman" w:cs="Times New Roman" w:hAnsi="Times New Roman"/>
          <w:sz w:val="28"/>
          <w:szCs w:val="28"/>
        </w:rPr>
        <w:t>D</w:t>
      </w:r>
      <w:r>
        <w:rPr>
          <w:rFonts w:ascii="Times New Roman" w:cs="Times New Roman" w:hAnsi="Times New Roman"/>
          <w:sz w:val="28"/>
          <w:szCs w:val="28"/>
        </w:rPr>
        <w:t>ire</w:t>
      </w:r>
      <w:r>
        <w:rPr>
          <w:rFonts w:ascii="Times New Roman" w:cs="Times New Roman" w:hAnsi="Times New Roman"/>
          <w:sz w:val="28"/>
          <w:szCs w:val="28"/>
        </w:rPr>
        <w:t>cteurs des Centres Régionaux d’I</w:t>
      </w:r>
      <w:r>
        <w:rPr>
          <w:rFonts w:ascii="Times New Roman" w:cs="Times New Roman" w:hAnsi="Times New Roman"/>
          <w:sz w:val="28"/>
          <w:szCs w:val="28"/>
        </w:rPr>
        <w:t>nvestissement, les Directeurs des Agences Urbaines, les Inspecteurs Régionaux de l’Urbanisme, de l’Architecture et de l’Aménagement du territoire ainsi qu’aux Directeurs Régionaux de l’Agriculture.</w:t>
      </w:r>
      <w:r>
        <w:rPr>
          <w:rFonts w:ascii="Times New Roman" w:cs="Times New Roman" w:hAnsi="Times New Roman"/>
          <w:sz w:val="28"/>
          <w:szCs w:val="28"/>
        </w:rPr>
        <w:t xml:space="preserve"> </w:t>
      </w:r>
    </w:p>
    <w:p>
      <w:pPr>
        <w:pStyle w:val="style0"/>
        <w:spacing w:before="120" w:after="120" w:lineRule="auto" w:line="276"/>
        <w:jc w:val="both"/>
        <w:contextualSpacing/>
        <w:rPr>
          <w:rFonts w:ascii="Times New Roman" w:cs="Times New Roman" w:hAnsi="Times New Roman"/>
          <w:sz w:val="28"/>
          <w:szCs w:val="28"/>
        </w:rPr>
      </w:pPr>
      <w:r>
        <w:rPr>
          <w:rFonts w:ascii="Times New Roman" w:cs="Times New Roman" w:hAnsi="Times New Roman"/>
          <w:sz w:val="28"/>
          <w:szCs w:val="28"/>
        </w:rPr>
        <w:t xml:space="preserve">Une décision qui intervient </w:t>
      </w:r>
      <w:r>
        <w:rPr>
          <w:rFonts w:ascii="Times New Roman" w:cs="Times New Roman" w:hAnsi="Times New Roman"/>
          <w:sz w:val="28"/>
          <w:szCs w:val="28"/>
        </w:rPr>
        <w:t xml:space="preserve">dans un contexte </w:t>
      </w:r>
      <w:r>
        <w:rPr>
          <w:rFonts w:ascii="Times New Roman" w:cs="Times New Roman" w:hAnsi="Times New Roman"/>
          <w:sz w:val="28"/>
          <w:szCs w:val="28"/>
        </w:rPr>
        <w:t>national</w:t>
      </w:r>
      <w:r>
        <w:rPr>
          <w:rFonts w:ascii="Times New Roman" w:cs="Times New Roman" w:hAnsi="Times New Roman"/>
          <w:sz w:val="28"/>
          <w:szCs w:val="28"/>
        </w:rPr>
        <w:t xml:space="preserve"> marqué par un fort dynamisme de l’investissement, ce qui justifie la nécessité de prendre plusieurs mesures visant à </w:t>
      </w:r>
      <w:r>
        <w:rPr>
          <w:rFonts w:ascii="Times New Roman" w:cs="Times New Roman" w:hAnsi="Times New Roman"/>
          <w:sz w:val="28"/>
          <w:szCs w:val="28"/>
        </w:rPr>
        <w:t>encourager et promouvoir c</w:t>
      </w:r>
      <w:r>
        <w:rPr>
          <w:rFonts w:ascii="Times New Roman" w:cs="Times New Roman" w:hAnsi="Times New Roman"/>
          <w:sz w:val="28"/>
          <w:szCs w:val="28"/>
        </w:rPr>
        <w:t>es initiatives.</w:t>
      </w:r>
      <w:r>
        <w:rPr>
          <w:rFonts w:ascii="Times New Roman" w:cs="Times New Roman" w:hAnsi="Times New Roman"/>
          <w:sz w:val="28"/>
          <w:szCs w:val="28"/>
        </w:rPr>
        <w:t xml:space="preserve"> </w:t>
      </w:r>
      <w:r>
        <w:rPr>
          <w:rFonts w:ascii="Times New Roman" w:cs="Times New Roman" w:hAnsi="Times New Roman"/>
          <w:sz w:val="28"/>
          <w:szCs w:val="28"/>
        </w:rPr>
        <w:t xml:space="preserve">En effet, la circulaire conjointe vise à surmonter les difficultés liées à l'octroi de l'attestation de la vocation non agricole, et à unifier l'interprétation des textes juridiques qui l'encadre par les </w:t>
      </w:r>
      <w:r>
        <w:rPr>
          <w:rFonts w:ascii="Times New Roman" w:cs="Times New Roman" w:hAnsi="Times New Roman"/>
          <w:sz w:val="28"/>
          <w:szCs w:val="28"/>
        </w:rPr>
        <w:t xml:space="preserve">administrations et </w:t>
      </w:r>
      <w:r>
        <w:rPr>
          <w:rFonts w:ascii="Times New Roman" w:cs="Times New Roman" w:hAnsi="Times New Roman"/>
          <w:sz w:val="28"/>
          <w:szCs w:val="28"/>
        </w:rPr>
        <w:t xml:space="preserve">les </w:t>
      </w:r>
      <w:r>
        <w:rPr>
          <w:rFonts w:ascii="Times New Roman" w:cs="Times New Roman" w:hAnsi="Times New Roman"/>
          <w:sz w:val="28"/>
          <w:szCs w:val="28"/>
        </w:rPr>
        <w:t>autorités territoriales</w:t>
      </w:r>
      <w:r>
        <w:rPr>
          <w:rFonts w:ascii="Times New Roman" w:cs="Times New Roman" w:hAnsi="Times New Roman"/>
          <w:sz w:val="28"/>
          <w:szCs w:val="28"/>
        </w:rPr>
        <w:t>.</w:t>
      </w:r>
    </w:p>
    <w:p>
      <w:pPr>
        <w:pStyle w:val="style0"/>
        <w:spacing w:before="120" w:after="120" w:lineRule="auto" w:line="276"/>
        <w:jc w:val="both"/>
        <w:contextualSpacing/>
        <w:rPr>
          <w:rFonts w:ascii="Times New Roman" w:cs="Times New Roman" w:hAnsi="Times New Roman"/>
          <w:sz w:val="28"/>
          <w:szCs w:val="28"/>
        </w:rPr>
      </w:pPr>
    </w:p>
    <w:p>
      <w:pPr>
        <w:pStyle w:val="style0"/>
        <w:spacing w:before="120" w:after="120"/>
        <w:jc w:val="both"/>
        <w:contextualSpacing/>
        <w:rPr>
          <w:rFonts w:ascii="Times New Roman" w:cs="Times New Roman" w:hAnsi="Times New Roman"/>
          <w:sz w:val="28"/>
          <w:szCs w:val="28"/>
        </w:rPr>
      </w:pPr>
      <w:r>
        <w:rPr>
          <w:rFonts w:ascii="Times New Roman" w:cs="Times New Roman" w:hAnsi="Times New Roman"/>
          <w:sz w:val="28"/>
          <w:szCs w:val="28"/>
        </w:rPr>
        <w:t>I</w:t>
      </w:r>
      <w:r>
        <w:rPr>
          <w:rFonts w:ascii="Times New Roman" w:cs="Times New Roman" w:hAnsi="Times New Roman"/>
          <w:sz w:val="28"/>
          <w:szCs w:val="28"/>
        </w:rPr>
        <w:t>l convient de rappeler</w:t>
      </w:r>
      <w:r>
        <w:rPr>
          <w:rFonts w:ascii="Times New Roman" w:cs="Times New Roman" w:hAnsi="Times New Roman"/>
          <w:sz w:val="28"/>
          <w:szCs w:val="28"/>
        </w:rPr>
        <w:t xml:space="preserve">, </w:t>
      </w:r>
      <w:r>
        <w:rPr>
          <w:rFonts w:ascii="Times New Roman" w:cs="Times New Roman" w:hAnsi="Times New Roman"/>
          <w:sz w:val="28"/>
          <w:szCs w:val="28"/>
        </w:rPr>
        <w:t>à</w:t>
      </w:r>
      <w:r>
        <w:rPr>
          <w:rFonts w:ascii="Times New Roman" w:cs="Times New Roman" w:hAnsi="Times New Roman"/>
          <w:sz w:val="28"/>
          <w:szCs w:val="28"/>
        </w:rPr>
        <w:t xml:space="preserve"> cet égard</w:t>
      </w:r>
      <w:r>
        <w:rPr>
          <w:rFonts w:ascii="Times New Roman" w:cs="Times New Roman" w:hAnsi="Times New Roman"/>
          <w:sz w:val="28"/>
          <w:szCs w:val="28"/>
        </w:rPr>
        <w:t>,</w:t>
      </w:r>
      <w:r>
        <w:rPr>
          <w:rFonts w:ascii="Times New Roman" w:cs="Times New Roman" w:hAnsi="Times New Roman"/>
          <w:sz w:val="28"/>
          <w:szCs w:val="28"/>
        </w:rPr>
        <w:t xml:space="preserve"> que </w:t>
      </w:r>
      <w:r>
        <w:rPr>
          <w:rFonts w:ascii="Times New Roman" w:cs="Times New Roman" w:hAnsi="Times New Roman"/>
          <w:sz w:val="28"/>
          <w:szCs w:val="28"/>
        </w:rPr>
        <w:t>l’attestation de la vocation non agricole est prévue par le décret n° 2.04.683 relatif à la commission régionale chargée de certaines opérations foncières</w:t>
      </w:r>
      <w:r>
        <w:rPr>
          <w:rFonts w:ascii="Times New Roman" w:cs="Times New Roman" w:hAnsi="Times New Roman"/>
          <w:sz w:val="28"/>
          <w:szCs w:val="28"/>
        </w:rPr>
        <w:t xml:space="preserve"> qui a accordé aux étrangers</w:t>
      </w:r>
      <w:r>
        <w:rPr>
          <w:rFonts w:ascii="Times New Roman" w:cs="Times New Roman" w:hAnsi="Times New Roman"/>
          <w:sz w:val="28"/>
          <w:szCs w:val="28"/>
        </w:rPr>
        <w:t xml:space="preserve"> la possibilité </w:t>
      </w:r>
      <w:r>
        <w:rPr>
          <w:rFonts w:ascii="Times New Roman" w:cs="Times New Roman" w:hAnsi="Times New Roman"/>
          <w:sz w:val="28"/>
          <w:szCs w:val="28"/>
        </w:rPr>
        <w:t xml:space="preserve">d’acquérir des propriétés agricoles ou à vocation agricole situées en totalité ou en partie à l’extérieur du périmètre urbain, destinées à la réalisation de projets d’investissements autres qu’agricoles à condition de disposer de l’attestation de </w:t>
      </w:r>
      <w:r>
        <w:rPr>
          <w:rFonts w:ascii="Times New Roman" w:cs="Times New Roman" w:hAnsi="Times New Roman"/>
          <w:sz w:val="28"/>
          <w:szCs w:val="28"/>
        </w:rPr>
        <w:t xml:space="preserve">la </w:t>
      </w:r>
      <w:r>
        <w:rPr>
          <w:rFonts w:ascii="Times New Roman" w:cs="Times New Roman" w:hAnsi="Times New Roman"/>
          <w:sz w:val="28"/>
          <w:szCs w:val="28"/>
        </w:rPr>
        <w:t>vocation non agricole.</w:t>
      </w:r>
      <w:r>
        <w:rPr>
          <w:rFonts w:ascii="Times New Roman" w:cs="Times New Roman" w:hAnsi="Times New Roman"/>
          <w:sz w:val="28"/>
          <w:szCs w:val="28"/>
        </w:rPr>
        <w:t xml:space="preserve"> </w:t>
      </w:r>
    </w:p>
    <w:p>
      <w:pPr>
        <w:pStyle w:val="style0"/>
        <w:spacing w:before="120" w:after="120"/>
        <w:jc w:val="both"/>
        <w:contextualSpacing/>
        <w:rPr>
          <w:rFonts w:ascii="Times New Roman" w:cs="Times New Roman" w:hAnsi="Times New Roman"/>
          <w:sz w:val="28"/>
          <w:szCs w:val="28"/>
        </w:rPr>
      </w:pPr>
    </w:p>
    <w:p>
      <w:pPr>
        <w:pStyle w:val="style0"/>
        <w:spacing w:before="120" w:after="120" w:lineRule="auto" w:line="276"/>
        <w:jc w:val="both"/>
        <w:contextualSpacing/>
        <w:rPr>
          <w:rFonts w:ascii="Times New Roman" w:cs="Times New Roman" w:eastAsia="Times New Roman" w:hAnsi="Times New Roman"/>
          <w:sz w:val="28"/>
          <w:szCs w:val="28"/>
          <w:lang w:eastAsia="fr-FR"/>
        </w:rPr>
      </w:pPr>
      <w:r>
        <w:rPr>
          <w:rFonts w:ascii="Times New Roman" w:cs="Times New Roman" w:eastAsia="Times New Roman" w:hAnsi="Times New Roman"/>
          <w:sz w:val="28"/>
          <w:szCs w:val="28"/>
          <w:lang w:eastAsia="fr-FR"/>
        </w:rPr>
        <w:t>Ainsi, afin de garantir le r</w:t>
      </w:r>
      <w:r>
        <w:rPr>
          <w:rFonts w:ascii="Times New Roman" w:cs="Times New Roman" w:hAnsi="Times New Roman"/>
          <w:sz w:val="28"/>
          <w:szCs w:val="28"/>
        </w:rPr>
        <w:t>espect d</w:t>
      </w:r>
      <w:r>
        <w:rPr>
          <w:rFonts w:ascii="Times New Roman" w:cs="Times New Roman" w:hAnsi="Times New Roman"/>
          <w:sz w:val="28"/>
          <w:szCs w:val="28"/>
        </w:rPr>
        <w:t>u principe de l’équilibre entre la préserva</w:t>
      </w:r>
      <w:r>
        <w:rPr>
          <w:rFonts w:ascii="Times New Roman" w:cs="Times New Roman" w:hAnsi="Times New Roman"/>
          <w:sz w:val="28"/>
          <w:szCs w:val="28"/>
        </w:rPr>
        <w:t>tion d’un niveau raisonnable</w:t>
      </w:r>
      <w:r>
        <w:rPr>
          <w:rFonts w:ascii="Times New Roman" w:cs="Times New Roman" w:hAnsi="Times New Roman"/>
          <w:sz w:val="28"/>
          <w:szCs w:val="28"/>
        </w:rPr>
        <w:t xml:space="preserve"> de so</w:t>
      </w:r>
      <w:r>
        <w:rPr>
          <w:rFonts w:ascii="Times New Roman" w:cs="Times New Roman" w:hAnsi="Times New Roman"/>
          <w:sz w:val="28"/>
          <w:szCs w:val="28"/>
        </w:rPr>
        <w:t xml:space="preserve">uveraineté foncière et entre </w:t>
      </w:r>
      <w:r>
        <w:rPr>
          <w:rFonts w:ascii="Times New Roman" w:cs="Times New Roman" w:hAnsi="Times New Roman"/>
          <w:sz w:val="28"/>
          <w:szCs w:val="28"/>
        </w:rPr>
        <w:t>l’encouragement de l’inve</w:t>
      </w:r>
      <w:r>
        <w:rPr>
          <w:rFonts w:ascii="Times New Roman" w:cs="Times New Roman" w:hAnsi="Times New Roman"/>
          <w:sz w:val="28"/>
          <w:szCs w:val="28"/>
        </w:rPr>
        <w:t>stissement, l</w:t>
      </w:r>
      <w:r>
        <w:rPr>
          <w:rFonts w:ascii="Times New Roman" w:cs="Times New Roman" w:eastAsia="Times New Roman" w:hAnsi="Times New Roman"/>
          <w:sz w:val="28"/>
          <w:szCs w:val="28"/>
          <w:lang w:eastAsia="fr-FR"/>
        </w:rPr>
        <w:t xml:space="preserve">a circulaire conjointe édicte un ensemble de </w:t>
      </w:r>
      <w:r>
        <w:rPr>
          <w:rFonts w:ascii="Times New Roman" w:cs="Times New Roman" w:eastAsia="Times New Roman" w:hAnsi="Times New Roman"/>
          <w:sz w:val="28"/>
          <w:szCs w:val="28"/>
          <w:lang w:eastAsia="fr-FR"/>
        </w:rPr>
        <w:t>nouvelles directiv</w:t>
      </w:r>
      <w:r>
        <w:rPr>
          <w:rFonts w:ascii="Times New Roman" w:cs="Times New Roman" w:eastAsia="Times New Roman" w:hAnsi="Times New Roman"/>
          <w:sz w:val="28"/>
          <w:szCs w:val="28"/>
          <w:lang w:eastAsia="fr-FR"/>
        </w:rPr>
        <w:t>es</w:t>
      </w:r>
      <w:r>
        <w:rPr>
          <w:rFonts w:ascii="Times New Roman" w:cs="Times New Roman" w:eastAsia="Times New Roman" w:hAnsi="Times New Roman"/>
          <w:sz w:val="28"/>
          <w:szCs w:val="28"/>
          <w:lang w:eastAsia="fr-FR"/>
        </w:rPr>
        <w:t>, notamment :</w:t>
      </w:r>
    </w:p>
    <w:p>
      <w:pPr>
        <w:pStyle w:val="style179"/>
        <w:numPr>
          <w:ilvl w:val="0"/>
          <w:numId w:val="1"/>
        </w:numPr>
        <w:spacing w:after="0" w:lineRule="auto" w:line="276"/>
        <w:jc w:val="both"/>
        <w:rPr>
          <w:rFonts w:ascii="Times New Roman" w:cs="Times New Roman" w:hAnsi="Times New Roman"/>
          <w:sz w:val="28"/>
          <w:szCs w:val="28"/>
        </w:rPr>
      </w:pPr>
      <w:r>
        <w:rPr>
          <w:rFonts w:ascii="Times New Roman" w:cs="Times New Roman" w:hAnsi="Times New Roman"/>
          <w:sz w:val="28"/>
          <w:szCs w:val="28"/>
        </w:rPr>
        <w:t xml:space="preserve">Le </w:t>
      </w:r>
      <w:r>
        <w:rPr>
          <w:rFonts w:ascii="Times New Roman" w:cs="Times New Roman" w:hAnsi="Times New Roman"/>
          <w:sz w:val="28"/>
          <w:szCs w:val="28"/>
        </w:rPr>
        <w:t xml:space="preserve">strict </w:t>
      </w:r>
      <w:r>
        <w:rPr>
          <w:rFonts w:ascii="Times New Roman" w:cs="Times New Roman" w:hAnsi="Times New Roman"/>
          <w:sz w:val="28"/>
          <w:szCs w:val="28"/>
        </w:rPr>
        <w:t xml:space="preserve">respect des conditions requises </w:t>
      </w:r>
      <w:r>
        <w:rPr>
          <w:rFonts w:ascii="Times New Roman" w:cs="Times New Roman" w:hAnsi="Times New Roman"/>
          <w:sz w:val="28"/>
          <w:szCs w:val="28"/>
        </w:rPr>
        <w:t>prévues au chapitre</w:t>
      </w:r>
      <w:r>
        <w:rPr>
          <w:rFonts w:ascii="Times New Roman" w:cs="Times New Roman" w:hAnsi="Times New Roman"/>
          <w:sz w:val="28"/>
          <w:szCs w:val="28"/>
        </w:rPr>
        <w:t xml:space="preserve"> 3 du décret n° 2.04.683 précité avant de délivrer l'attestation de la vocation non agricole, à savoir :</w:t>
      </w:r>
    </w:p>
    <w:p>
      <w:pPr>
        <w:pStyle w:val="style179"/>
        <w:numPr>
          <w:ilvl w:val="1"/>
          <w:numId w:val="1"/>
        </w:numPr>
        <w:spacing w:after="0" w:lineRule="auto" w:line="276"/>
        <w:jc w:val="both"/>
        <w:rPr>
          <w:rFonts w:ascii="Times New Roman" w:cs="Times New Roman" w:hAnsi="Times New Roman"/>
          <w:sz w:val="28"/>
          <w:szCs w:val="28"/>
        </w:rPr>
      </w:pPr>
      <w:r>
        <w:rPr>
          <w:rFonts w:ascii="Times New Roman" w:cs="Times New Roman" w:hAnsi="Times New Roman"/>
          <w:sz w:val="28"/>
          <w:szCs w:val="28"/>
        </w:rPr>
        <w:t>La nécessité d’associer la délivrance de ladite attestation à l’existence d’</w:t>
      </w:r>
      <w:r>
        <w:rPr>
          <w:rFonts w:ascii="Times New Roman" w:cs="Times New Roman" w:hAnsi="Times New Roman"/>
          <w:sz w:val="28"/>
          <w:szCs w:val="28"/>
        </w:rPr>
        <w:t>un projet d’investissement non agricole ;</w:t>
      </w:r>
    </w:p>
    <w:p>
      <w:pPr>
        <w:pStyle w:val="style179"/>
        <w:numPr>
          <w:ilvl w:val="1"/>
          <w:numId w:val="1"/>
        </w:numPr>
        <w:spacing w:after="0" w:lineRule="auto" w:line="276"/>
        <w:jc w:val="both"/>
        <w:rPr>
          <w:rFonts w:ascii="Times New Roman" w:cs="Times New Roman" w:hAnsi="Times New Roman"/>
          <w:sz w:val="28"/>
          <w:szCs w:val="28"/>
        </w:rPr>
      </w:pPr>
      <w:r>
        <w:rPr>
          <w:rFonts w:ascii="Times New Roman" w:cs="Times New Roman" w:hAnsi="Times New Roman"/>
          <w:sz w:val="28"/>
          <w:szCs w:val="28"/>
        </w:rPr>
        <w:t>La non-</w:t>
      </w:r>
      <w:r>
        <w:rPr>
          <w:rFonts w:ascii="Times New Roman" w:cs="Times New Roman" w:hAnsi="Times New Roman"/>
          <w:sz w:val="28"/>
          <w:szCs w:val="28"/>
        </w:rPr>
        <w:t xml:space="preserve">délivrance de l’attestation pour </w:t>
      </w:r>
      <w:r>
        <w:rPr>
          <w:rFonts w:ascii="Times New Roman" w:cs="Times New Roman" w:hAnsi="Times New Roman"/>
          <w:sz w:val="28"/>
          <w:szCs w:val="28"/>
        </w:rPr>
        <w:t>les</w:t>
      </w:r>
      <w:r>
        <w:rPr>
          <w:rFonts w:ascii="Times New Roman" w:cs="Times New Roman" w:hAnsi="Times New Roman"/>
          <w:sz w:val="28"/>
          <w:szCs w:val="28"/>
        </w:rPr>
        <w:t xml:space="preserve"> zones à </w:t>
      </w:r>
      <w:r>
        <w:rPr>
          <w:rFonts w:ascii="Times New Roman" w:cs="Times New Roman" w:hAnsi="Times New Roman"/>
          <w:sz w:val="28"/>
          <w:szCs w:val="28"/>
        </w:rPr>
        <w:t>hautes</w:t>
      </w:r>
      <w:r>
        <w:rPr>
          <w:rFonts w:ascii="Times New Roman" w:cs="Times New Roman" w:hAnsi="Times New Roman"/>
          <w:sz w:val="28"/>
          <w:szCs w:val="28"/>
        </w:rPr>
        <w:t xml:space="preserve"> potenti</w:t>
      </w:r>
      <w:r>
        <w:rPr>
          <w:rFonts w:ascii="Times New Roman" w:cs="Times New Roman" w:hAnsi="Times New Roman"/>
          <w:sz w:val="28"/>
          <w:szCs w:val="28"/>
        </w:rPr>
        <w:t>a</w:t>
      </w:r>
      <w:r>
        <w:rPr>
          <w:rFonts w:ascii="Times New Roman" w:cs="Times New Roman" w:hAnsi="Times New Roman"/>
          <w:sz w:val="28"/>
          <w:szCs w:val="28"/>
        </w:rPr>
        <w:t>l</w:t>
      </w:r>
      <w:r>
        <w:rPr>
          <w:rFonts w:ascii="Times New Roman" w:cs="Times New Roman" w:hAnsi="Times New Roman"/>
          <w:sz w:val="28"/>
          <w:szCs w:val="28"/>
        </w:rPr>
        <w:t>ités</w:t>
      </w:r>
      <w:r>
        <w:rPr>
          <w:rFonts w:ascii="Times New Roman" w:cs="Times New Roman" w:hAnsi="Times New Roman"/>
          <w:sz w:val="28"/>
          <w:szCs w:val="28"/>
        </w:rPr>
        <w:t xml:space="preserve"> agricole</w:t>
      </w:r>
      <w:r>
        <w:rPr>
          <w:rFonts w:ascii="Times New Roman" w:cs="Times New Roman" w:hAnsi="Times New Roman"/>
          <w:sz w:val="28"/>
          <w:szCs w:val="28"/>
        </w:rPr>
        <w:t>s</w:t>
      </w:r>
      <w:r>
        <w:rPr>
          <w:rFonts w:ascii="Times New Roman" w:cs="Times New Roman" w:hAnsi="Times New Roman"/>
          <w:sz w:val="28"/>
          <w:szCs w:val="28"/>
        </w:rPr>
        <w:t> ;</w:t>
      </w:r>
    </w:p>
    <w:p>
      <w:pPr>
        <w:pStyle w:val="style179"/>
        <w:numPr>
          <w:ilvl w:val="1"/>
          <w:numId w:val="1"/>
        </w:numPr>
        <w:spacing w:after="0" w:lineRule="auto" w:line="276"/>
        <w:jc w:val="both"/>
        <w:rPr>
          <w:rFonts w:ascii="Times New Roman" w:cs="Times New Roman" w:hAnsi="Times New Roman"/>
          <w:sz w:val="28"/>
          <w:szCs w:val="28"/>
        </w:rPr>
      </w:pPr>
      <w:r>
        <w:rPr>
          <w:rFonts w:ascii="Times New Roman" w:cs="Times New Roman" w:hAnsi="Times New Roman"/>
          <w:sz w:val="28"/>
          <w:szCs w:val="28"/>
        </w:rPr>
        <w:t>S'assurer que la propriété n'est pas située à l'intérieur</w:t>
      </w:r>
      <w:r>
        <w:rPr>
          <w:rFonts w:ascii="Times New Roman" w:cs="Times New Roman" w:hAnsi="Times New Roman"/>
          <w:sz w:val="28"/>
          <w:szCs w:val="28"/>
        </w:rPr>
        <w:t xml:space="preserve"> des délimitations prévues par l</w:t>
      </w:r>
      <w:r>
        <w:rPr>
          <w:rFonts w:ascii="Times New Roman" w:cs="Times New Roman" w:hAnsi="Times New Roman"/>
          <w:sz w:val="28"/>
          <w:szCs w:val="28"/>
        </w:rPr>
        <w:t xml:space="preserve">es </w:t>
      </w:r>
      <w:r>
        <w:rPr>
          <w:rFonts w:ascii="Times New Roman" w:cs="Times New Roman" w:hAnsi="Times New Roman"/>
          <w:sz w:val="28"/>
          <w:szCs w:val="28"/>
        </w:rPr>
        <w:t>lois</w:t>
      </w:r>
      <w:r>
        <w:rPr>
          <w:rFonts w:ascii="Times New Roman" w:cs="Times New Roman" w:hAnsi="Times New Roman"/>
          <w:sz w:val="28"/>
          <w:szCs w:val="28"/>
        </w:rPr>
        <w:t xml:space="preserve"> et </w:t>
      </w:r>
      <w:r>
        <w:rPr>
          <w:rFonts w:ascii="Times New Roman" w:cs="Times New Roman" w:hAnsi="Times New Roman"/>
          <w:sz w:val="28"/>
          <w:szCs w:val="28"/>
        </w:rPr>
        <w:t>règlements</w:t>
      </w:r>
      <w:r>
        <w:rPr>
          <w:rFonts w:ascii="Times New Roman" w:cs="Times New Roman" w:hAnsi="Times New Roman"/>
          <w:sz w:val="28"/>
          <w:szCs w:val="28"/>
        </w:rPr>
        <w:t xml:space="preserve"> spécifiques, notamment les secteurs de remembrement, les périmètres d'irrigation et qu'elle n'est pas attribuée dans le cadre de la réforme agraire</w:t>
      </w:r>
      <w:r>
        <w:rPr>
          <w:rFonts w:ascii="Times New Roman" w:cs="Times New Roman" w:hAnsi="Times New Roman"/>
          <w:sz w:val="28"/>
          <w:szCs w:val="28"/>
        </w:rPr>
        <w:t>.</w:t>
      </w:r>
    </w:p>
    <w:p>
      <w:pPr>
        <w:pStyle w:val="style179"/>
        <w:numPr>
          <w:ilvl w:val="0"/>
          <w:numId w:val="1"/>
        </w:numPr>
        <w:spacing w:after="0" w:lineRule="auto" w:line="276"/>
        <w:jc w:val="both"/>
        <w:rPr>
          <w:rFonts w:ascii="Times New Roman" w:cs="Times New Roman" w:hAnsi="Times New Roman"/>
          <w:sz w:val="28"/>
          <w:szCs w:val="28"/>
        </w:rPr>
      </w:pPr>
      <w:r>
        <w:rPr>
          <w:rFonts w:ascii="Times New Roman" w:cs="Times New Roman" w:hAnsi="Times New Roman"/>
          <w:sz w:val="28"/>
          <w:szCs w:val="28"/>
        </w:rPr>
        <w:t xml:space="preserve">La </w:t>
      </w:r>
      <w:r>
        <w:rPr>
          <w:rFonts w:ascii="Times New Roman" w:cs="Times New Roman" w:hAnsi="Times New Roman"/>
          <w:sz w:val="28"/>
          <w:szCs w:val="28"/>
        </w:rPr>
        <w:t xml:space="preserve">délivrance </w:t>
      </w:r>
      <w:r>
        <w:rPr>
          <w:rFonts w:ascii="Times New Roman" w:cs="Times New Roman" w:hAnsi="Times New Roman"/>
          <w:sz w:val="28"/>
          <w:szCs w:val="28"/>
        </w:rPr>
        <w:t>systématique</w:t>
      </w:r>
      <w:r>
        <w:rPr>
          <w:rFonts w:ascii="Times New Roman" w:cs="Times New Roman" w:hAnsi="Times New Roman"/>
          <w:sz w:val="28"/>
          <w:szCs w:val="28"/>
        </w:rPr>
        <w:t xml:space="preserve"> de </w:t>
      </w:r>
      <w:r>
        <w:rPr>
          <w:rFonts w:ascii="Times New Roman" w:cs="Times New Roman" w:hAnsi="Times New Roman"/>
          <w:sz w:val="28"/>
          <w:szCs w:val="28"/>
        </w:rPr>
        <w:t>l’AVNA</w:t>
      </w:r>
      <w:r>
        <w:rPr>
          <w:rFonts w:ascii="Times New Roman" w:cs="Times New Roman" w:hAnsi="Times New Roman"/>
          <w:sz w:val="28"/>
          <w:szCs w:val="28"/>
        </w:rPr>
        <w:t xml:space="preserve"> à tout acquéreur étranger présentant une demande d’acquisition des biens </w:t>
      </w:r>
      <w:r>
        <w:rPr>
          <w:rFonts w:ascii="Times New Roman" w:cs="Times New Roman" w:hAnsi="Times New Roman"/>
          <w:sz w:val="28"/>
          <w:szCs w:val="28"/>
        </w:rPr>
        <w:t>immobiliers</w:t>
      </w:r>
      <w:r>
        <w:rPr>
          <w:rFonts w:ascii="Times New Roman" w:cs="Times New Roman" w:hAnsi="Times New Roman"/>
          <w:sz w:val="28"/>
          <w:szCs w:val="28"/>
        </w:rPr>
        <w:t xml:space="preserve"> situés en dehors du périmètre urbain</w:t>
      </w:r>
      <w:r>
        <w:rPr>
          <w:rFonts w:ascii="Times New Roman" w:cs="Times New Roman" w:hAnsi="Times New Roman"/>
          <w:sz w:val="28"/>
          <w:szCs w:val="28"/>
        </w:rPr>
        <w:t>, issus</w:t>
      </w:r>
      <w:r>
        <w:rPr>
          <w:rFonts w:ascii="Times New Roman" w:cs="Times New Roman" w:hAnsi="Times New Roman"/>
          <w:sz w:val="28"/>
          <w:szCs w:val="28"/>
        </w:rPr>
        <w:t xml:space="preserve"> </w:t>
      </w:r>
      <w:r>
        <w:rPr>
          <w:rFonts w:ascii="Times New Roman" w:cs="Times New Roman" w:hAnsi="Times New Roman"/>
          <w:sz w:val="28"/>
          <w:szCs w:val="28"/>
        </w:rPr>
        <w:t>de</w:t>
      </w:r>
      <w:r>
        <w:rPr>
          <w:rFonts w:ascii="Times New Roman" w:cs="Times New Roman" w:hAnsi="Times New Roman"/>
          <w:sz w:val="28"/>
          <w:szCs w:val="28"/>
        </w:rPr>
        <w:t xml:space="preserve"> lotissements autorisés</w:t>
      </w:r>
      <w:r>
        <w:rPr>
          <w:rFonts w:ascii="Times New Roman" w:cs="Times New Roman" w:hAnsi="Times New Roman"/>
          <w:sz w:val="28"/>
          <w:szCs w:val="28"/>
        </w:rPr>
        <w:t>, réceptionnées et éclatées en biens immatriculés</w:t>
      </w:r>
      <w:r>
        <w:rPr>
          <w:rFonts w:ascii="Times New Roman" w:cs="Times New Roman" w:hAnsi="Times New Roman"/>
          <w:sz w:val="28"/>
          <w:szCs w:val="28"/>
        </w:rPr>
        <w:t xml:space="preserve">, ou </w:t>
      </w:r>
      <w:r>
        <w:rPr>
          <w:rFonts w:ascii="Times New Roman" w:cs="Times New Roman" w:hAnsi="Times New Roman"/>
          <w:sz w:val="28"/>
          <w:szCs w:val="28"/>
        </w:rPr>
        <w:t>pour l</w:t>
      </w:r>
      <w:r>
        <w:rPr>
          <w:rFonts w:ascii="Times New Roman" w:cs="Times New Roman" w:hAnsi="Times New Roman"/>
          <w:sz w:val="28"/>
          <w:szCs w:val="28"/>
        </w:rPr>
        <w:t>’</w:t>
      </w:r>
      <w:r>
        <w:rPr>
          <w:rFonts w:ascii="Times New Roman" w:cs="Times New Roman" w:hAnsi="Times New Roman"/>
          <w:sz w:val="28"/>
          <w:szCs w:val="28"/>
        </w:rPr>
        <w:t xml:space="preserve">acquisition d’immeuble </w:t>
      </w:r>
      <w:r>
        <w:rPr>
          <w:rFonts w:ascii="Times New Roman" w:cs="Times New Roman" w:hAnsi="Times New Roman"/>
          <w:sz w:val="28"/>
          <w:szCs w:val="28"/>
        </w:rPr>
        <w:t>appartenant à des groupes d’habitation autorisés</w:t>
      </w:r>
      <w:r>
        <w:rPr>
          <w:rFonts w:ascii="Times New Roman" w:cs="Times New Roman" w:hAnsi="Times New Roman"/>
          <w:sz w:val="28"/>
          <w:szCs w:val="28"/>
        </w:rPr>
        <w:t> ;</w:t>
      </w:r>
    </w:p>
    <w:p>
      <w:pPr>
        <w:pStyle w:val="style179"/>
        <w:numPr>
          <w:ilvl w:val="0"/>
          <w:numId w:val="1"/>
        </w:numPr>
        <w:spacing w:after="0" w:lineRule="auto" w:line="276"/>
        <w:jc w:val="both"/>
        <w:rPr>
          <w:rFonts w:ascii="Times New Roman" w:cs="Times New Roman" w:hAnsi="Times New Roman"/>
          <w:sz w:val="28"/>
          <w:szCs w:val="28"/>
        </w:rPr>
      </w:pPr>
      <w:r>
        <w:rPr>
          <w:rFonts w:ascii="Times New Roman" w:cs="Times New Roman" w:hAnsi="Times New Roman"/>
          <w:sz w:val="28"/>
          <w:szCs w:val="28"/>
        </w:rPr>
        <w:t>L’application stricte des dispositions de la loi 131.12 relative aux principes de délimitation des ressorts territoriaux des collectivités territoriales lors de la d</w:t>
      </w:r>
      <w:r>
        <w:rPr>
          <w:rFonts w:ascii="Times New Roman" w:cs="Times New Roman" w:hAnsi="Times New Roman"/>
          <w:sz w:val="28"/>
          <w:szCs w:val="28"/>
        </w:rPr>
        <w:t>élimitation du périmètre urbain ;</w:t>
      </w:r>
    </w:p>
    <w:p>
      <w:pPr>
        <w:pStyle w:val="style179"/>
        <w:numPr>
          <w:ilvl w:val="0"/>
          <w:numId w:val="1"/>
        </w:numPr>
        <w:spacing w:after="0" w:lineRule="auto" w:line="276"/>
        <w:jc w:val="both"/>
        <w:rPr>
          <w:rFonts w:ascii="Times New Roman" w:cs="Times New Roman" w:hAnsi="Times New Roman"/>
          <w:sz w:val="28"/>
          <w:szCs w:val="28"/>
        </w:rPr>
      </w:pPr>
      <w:r>
        <w:rPr>
          <w:rFonts w:ascii="Times New Roman" w:cs="Times New Roman" w:hAnsi="Times New Roman"/>
          <w:sz w:val="28"/>
          <w:szCs w:val="28"/>
        </w:rPr>
        <w:t>L’obligation de motiver les décisions de refus de délivrance de l’attestation de la vocation non agricole.</w:t>
      </w:r>
    </w:p>
    <w:p>
      <w:pPr>
        <w:pStyle w:val="style0"/>
        <w:spacing w:after="120" w:lineRule="auto" w:line="240"/>
        <w:ind w:right="-2"/>
        <w:jc w:val="both"/>
        <w:contextualSpacing/>
        <w:rPr>
          <w:rFonts w:ascii="Times New Roman" w:cs="Times New Roman" w:hAnsi="Times New Roman"/>
          <w:color w:val="202124"/>
          <w:sz w:val="28"/>
          <w:szCs w:val="28"/>
        </w:rPr>
      </w:pPr>
    </w:p>
    <w:p>
      <w:pPr>
        <w:pStyle w:val="style0"/>
        <w:spacing w:after="120" w:lineRule="auto" w:line="240"/>
        <w:ind w:right="-2"/>
        <w:jc w:val="both"/>
        <w:contextualSpacing/>
        <w:rPr>
          <w:rFonts w:ascii="Times New Roman" w:cs="Times New Roman" w:hAnsi="Times New Roman"/>
          <w:color w:val="202124"/>
          <w:sz w:val="28"/>
          <w:szCs w:val="28"/>
        </w:rPr>
      </w:pPr>
      <w:r>
        <w:rPr>
          <w:rFonts w:ascii="Times New Roman" w:cs="Times New Roman" w:hAnsi="Times New Roman"/>
          <w:color w:val="202124"/>
          <w:sz w:val="28"/>
          <w:szCs w:val="28"/>
        </w:rPr>
        <w:t>In fine</w:t>
      </w:r>
      <w:r>
        <w:rPr>
          <w:rFonts w:ascii="Times New Roman" w:cs="Times New Roman" w:hAnsi="Times New Roman"/>
          <w:color w:val="202124"/>
          <w:sz w:val="28"/>
          <w:szCs w:val="28"/>
        </w:rPr>
        <w:t xml:space="preserve">, ces </w:t>
      </w:r>
      <w:r>
        <w:rPr>
          <w:rFonts w:ascii="Times New Roman" w:cs="Times New Roman" w:hAnsi="Times New Roman"/>
          <w:color w:val="202124"/>
          <w:sz w:val="28"/>
          <w:szCs w:val="28"/>
        </w:rPr>
        <w:t xml:space="preserve">nouvelles </w:t>
      </w:r>
      <w:r>
        <w:rPr>
          <w:rFonts w:ascii="Times New Roman" w:cs="Times New Roman" w:hAnsi="Times New Roman"/>
          <w:color w:val="202124"/>
          <w:sz w:val="28"/>
          <w:szCs w:val="28"/>
        </w:rPr>
        <w:t xml:space="preserve">mesures contenues dans la circulaire conjointe, contribueraient de manière significative à </w:t>
      </w:r>
      <w:r>
        <w:rPr>
          <w:rFonts w:ascii="Times New Roman" w:cs="Times New Roman" w:hAnsi="Times New Roman"/>
          <w:color w:val="202124"/>
          <w:sz w:val="28"/>
          <w:szCs w:val="28"/>
        </w:rPr>
        <w:t xml:space="preserve">lever les contraintes liées à la délivrance de l’attestation de la vocation non agricole dans plusieurs zones, et </w:t>
      </w:r>
      <w:r>
        <w:rPr>
          <w:rFonts w:ascii="Times New Roman" w:cs="Times New Roman" w:hAnsi="Times New Roman"/>
          <w:color w:val="202124"/>
          <w:sz w:val="28"/>
          <w:szCs w:val="28"/>
        </w:rPr>
        <w:t>par conséquent encourager l’investissement</w:t>
      </w:r>
      <w:r>
        <w:rPr>
          <w:rFonts w:ascii="Times New Roman" w:cs="Times New Roman" w:hAnsi="Times New Roman"/>
          <w:color w:val="202124"/>
          <w:sz w:val="28"/>
          <w:szCs w:val="28"/>
        </w:rPr>
        <w:t xml:space="preserve"> productif</w:t>
      </w:r>
      <w:r>
        <w:rPr>
          <w:rFonts w:ascii="Times New Roman" w:cs="Times New Roman" w:hAnsi="Times New Roman"/>
          <w:color w:val="202124"/>
          <w:sz w:val="28"/>
          <w:szCs w:val="28"/>
        </w:rPr>
        <w:t xml:space="preserve"> dans ces </w:t>
      </w:r>
      <w:r>
        <w:rPr>
          <w:rFonts w:ascii="Times New Roman" w:cs="Times New Roman" w:hAnsi="Times New Roman"/>
          <w:color w:val="202124"/>
          <w:sz w:val="28"/>
          <w:szCs w:val="28"/>
        </w:rPr>
        <w:t>territoire</w:t>
      </w:r>
      <w:r>
        <w:rPr>
          <w:rFonts w:ascii="Times New Roman" w:cs="Times New Roman" w:hAnsi="Times New Roman"/>
          <w:color w:val="202124"/>
          <w:sz w:val="28"/>
          <w:szCs w:val="28"/>
        </w:rPr>
        <w:t>s.</w:t>
      </w:r>
      <w:r>
        <w:rPr>
          <w:rFonts w:ascii="Times New Roman" w:cs="Times New Roman" w:hAnsi="Times New Roman"/>
          <w:color w:val="202124"/>
          <w:sz w:val="28"/>
          <w:szCs w:val="28"/>
        </w:rPr>
        <w:t xml:space="preserve"> </w:t>
      </w:r>
      <w:r>
        <w:rPr>
          <w:rFonts w:ascii="Times New Roman" w:cs="Times New Roman" w:hAnsi="Times New Roman"/>
          <w:color w:val="202124"/>
          <w:sz w:val="28"/>
          <w:szCs w:val="28"/>
        </w:rPr>
        <w:t xml:space="preserve">Les ministres </w:t>
      </w:r>
      <w:r>
        <w:rPr>
          <w:rFonts w:ascii="Times New Roman" w:cs="Times New Roman" w:hAnsi="Times New Roman"/>
          <w:color w:val="202124"/>
          <w:sz w:val="28"/>
          <w:szCs w:val="28"/>
        </w:rPr>
        <w:t xml:space="preserve">signataires </w:t>
      </w:r>
      <w:r>
        <w:rPr>
          <w:rFonts w:ascii="Times New Roman" w:cs="Times New Roman" w:hAnsi="Times New Roman"/>
          <w:color w:val="202124"/>
          <w:sz w:val="28"/>
          <w:szCs w:val="28"/>
        </w:rPr>
        <w:t>appellent les différents intervenants à a</w:t>
      </w:r>
      <w:r>
        <w:rPr>
          <w:rFonts w:ascii="Times New Roman" w:cs="Times New Roman" w:hAnsi="Times New Roman"/>
          <w:color w:val="202124"/>
          <w:sz w:val="28"/>
          <w:szCs w:val="28"/>
        </w:rPr>
        <w:t>ccorder la plus grande importance à la mise en œuvre des mesures étayées dans la circulaire</w:t>
      </w:r>
      <w:r>
        <w:rPr>
          <w:rFonts w:ascii="Times New Roman" w:cs="Times New Roman" w:hAnsi="Times New Roman"/>
          <w:color w:val="202124"/>
          <w:sz w:val="28"/>
          <w:szCs w:val="28"/>
        </w:rPr>
        <w:t xml:space="preserve">, à assurer un suivi et un </w:t>
      </w:r>
      <w:r>
        <w:rPr>
          <w:rFonts w:ascii="Times New Roman" w:cs="Times New Roman" w:hAnsi="Times New Roman"/>
          <w:color w:val="202124"/>
          <w:sz w:val="28"/>
          <w:szCs w:val="28"/>
        </w:rPr>
        <w:t>reporting</w:t>
      </w:r>
      <w:r>
        <w:rPr>
          <w:rFonts w:ascii="Times New Roman" w:cs="Times New Roman" w:hAnsi="Times New Roman"/>
          <w:color w:val="202124"/>
          <w:sz w:val="28"/>
          <w:szCs w:val="28"/>
        </w:rPr>
        <w:t xml:space="preserve"> </w:t>
      </w:r>
      <w:r>
        <w:rPr>
          <w:rFonts w:ascii="Times New Roman" w:cs="Times New Roman" w:hAnsi="Times New Roman"/>
          <w:color w:val="202124"/>
          <w:sz w:val="28"/>
          <w:szCs w:val="28"/>
        </w:rPr>
        <w:t>régulier</w:t>
      </w:r>
      <w:r>
        <w:rPr>
          <w:rFonts w:ascii="Times New Roman" w:cs="Times New Roman" w:hAnsi="Times New Roman"/>
          <w:color w:val="202124"/>
          <w:sz w:val="28"/>
          <w:szCs w:val="28"/>
        </w:rPr>
        <w:t>s</w:t>
      </w:r>
      <w:r>
        <w:rPr>
          <w:rFonts w:ascii="Times New Roman" w:cs="Times New Roman" w:hAnsi="Times New Roman"/>
          <w:color w:val="202124"/>
          <w:sz w:val="28"/>
          <w:szCs w:val="28"/>
        </w:rPr>
        <w:t xml:space="preserve"> </w:t>
      </w:r>
      <w:r>
        <w:rPr>
          <w:rFonts w:ascii="Times New Roman" w:cs="Times New Roman" w:hAnsi="Times New Roman"/>
          <w:color w:val="202124"/>
          <w:sz w:val="28"/>
          <w:szCs w:val="28"/>
        </w:rPr>
        <w:t>et à mobiliser les moyens nécessaires pour appliquer ces dispositions.</w:t>
      </w:r>
      <w:bookmarkStart w:id="0" w:name="_GoBack"/>
      <w:bookmarkEnd w:id="0"/>
    </w:p>
    <w:sectPr>
      <w:footerReference w:type="default" r:id="rId3"/>
      <w:pgSz w:w="11906" w:h="16838" w:orient="portrait"/>
      <w:pgMar w:top="142"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egoe UI">
    <w:altName w:val="Segoe UI"/>
    <w:panose1 w:val="020b0502040002020203"/>
    <w:charset w:val="00"/>
    <w:family w:val="swiss"/>
    <w:pitch w:val="variable"/>
    <w:sig w:usb0="E4002EFF" w:usb1="C000E47F"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Arial Narrow">
    <w:altName w:val="Arial Narrow"/>
    <w:panose1 w:val="020b0606020002030204"/>
    <w:charset w:val="00"/>
    <w:family w:val="swiss"/>
    <w:pitch w:val="variable"/>
    <w:sig w:usb0="00000287" w:usb1="00000800"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r>
      <w:tab/>
    </w:r>
  </w:p>
  <w:p>
    <w:pPr>
      <w:pStyle w:val="style0"/>
      <w:spacing w:after="0"/>
      <w:rPr/>
    </w:pPr>
    <w:r>
      <w:rPr>
        <w:noProof/>
        <w:color w:val="a8d08d"/>
        <w:lang w:eastAsia="fr-FR"/>
      </w:rPr>
      <mc:AlternateContent>
        <mc:Choice Requires="wps">
          <w:drawing>
            <wp:anchor distT="0" distB="0" distL="0" distR="0" simplePos="false" relativeHeight="2" behindDoc="false" locked="false" layoutInCell="true" allowOverlap="true">
              <wp:simplePos x="0" y="0"/>
              <wp:positionH relativeFrom="margin">
                <wp:align>left</wp:align>
              </wp:positionH>
              <wp:positionV relativeFrom="paragraph">
                <wp:posOffset>100330</wp:posOffset>
              </wp:positionV>
              <wp:extent cx="5743575" cy="9525"/>
              <wp:effectExtent l="0" t="0" r="28575" b="28575"/>
              <wp:wrapNone/>
              <wp:docPr id="4097" name="Connecteur droit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43575" cy="9525"/>
                      </a:xfrm>
                      <a:prstGeom prst="line"/>
                      <a:ln cmpd="sng" cap="flat" w="6350">
                        <a:solidFill>
                          <a:srgbClr val="548135"/>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4097" filled="f" stroked="t" from="0.0pt,7.8999996pt" to="452.25pt,8.65pt" style="position:absolute;z-index:2;mso-position-horizontal:left;mso-position-horizontal-relative:margin;mso-position-vertical-relative:text;mso-width-percent:0;mso-height-percent:0;mso-width-relative:margin;mso-height-relative:margin;mso-wrap-distance-left:0.0pt;mso-wrap-distance-right:0.0pt;visibility:visible;">
              <v:stroke joinstyle="miter" color="#548135" weight="0.5pt"/>
              <v:fill/>
            </v:line>
          </w:pict>
        </mc:Fallback>
      </mc:AlternateContent>
    </w:r>
  </w:p>
  <w:tbl>
    <w:tblPr>
      <w:tblStyle w:val="style154"/>
      <w:tblW w:w="8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1"/>
    </w:tblGrid>
    <w:tr>
      <w:trPr>
        <w:trHeight w:val="62" w:hRule="atLeast"/>
        <w:jc w:val="center"/>
      </w:trPr>
      <w:tc>
        <w:tcPr>
          <w:tcW w:w="8011" w:type="dxa"/>
          <w:tcBorders/>
        </w:tcPr>
        <w:p>
          <w:pPr>
            <w:pStyle w:val="style0"/>
            <w:jc w:val="center"/>
            <w:rPr>
              <w:rFonts w:ascii="Calibri Light" w:cs="Arial" w:hAnsi="Calibri Light"/>
              <w:b/>
              <w:bCs/>
              <w:sz w:val="16"/>
              <w:szCs w:val="16"/>
            </w:rPr>
          </w:pPr>
          <w:r>
            <w:rPr>
              <w:rFonts w:ascii="Calibri Light" w:cs="Arial" w:hAnsi="Calibri Light"/>
              <w:b/>
              <w:bCs/>
              <w:sz w:val="16"/>
              <w:szCs w:val="16"/>
            </w:rPr>
            <w:t>Ministère de l’Aménagement du Territoire National, de l’Urbanisme,  de l’Habitat et de la Politique de la Ville</w:t>
          </w:r>
        </w:p>
        <w:p>
          <w:pPr>
            <w:pStyle w:val="style0"/>
            <w:jc w:val="center"/>
            <w:rPr>
              <w:rFonts w:ascii="Calibri Light" w:cs="Arial" w:hAnsi="Calibri Light"/>
              <w:sz w:val="16"/>
              <w:szCs w:val="16"/>
            </w:rPr>
          </w:pPr>
          <w:r>
            <w:rPr>
              <w:rFonts w:ascii="Calibri Light" w:cs="Arial" w:hAnsi="Calibri Light"/>
              <w:sz w:val="16"/>
              <w:szCs w:val="16"/>
            </w:rPr>
            <w:t xml:space="preserve">Angle rue Al </w:t>
          </w:r>
          <w:r>
            <w:rPr>
              <w:rFonts w:ascii="Calibri Light" w:cs="Arial" w:hAnsi="Calibri Light"/>
              <w:sz w:val="16"/>
              <w:szCs w:val="16"/>
            </w:rPr>
            <w:t>Joumayz</w:t>
          </w:r>
          <w:r>
            <w:rPr>
              <w:rFonts w:ascii="Calibri Light" w:cs="Arial" w:hAnsi="Calibri Light"/>
              <w:sz w:val="16"/>
              <w:szCs w:val="16"/>
            </w:rPr>
            <w:t xml:space="preserve"> et Al </w:t>
          </w:r>
          <w:r>
            <w:rPr>
              <w:rFonts w:ascii="Calibri Light" w:cs="Arial" w:hAnsi="Calibri Light"/>
              <w:sz w:val="16"/>
              <w:szCs w:val="16"/>
            </w:rPr>
            <w:t>Jaouz</w:t>
          </w:r>
          <w:r>
            <w:rPr>
              <w:rFonts w:ascii="Calibri Light" w:cs="Arial" w:hAnsi="Calibri Light"/>
              <w:sz w:val="16"/>
              <w:szCs w:val="16"/>
            </w:rPr>
            <w:t>, Secteur n°16, Hay Ryad, Rabat 10000 – Maroc</w:t>
          </w:r>
        </w:p>
        <w:p>
          <w:pPr>
            <w:pStyle w:val="style0"/>
            <w:jc w:val="center"/>
            <w:rPr>
              <w:rFonts w:ascii="Arial Narrow" w:cs="Arial" w:hAnsi="Arial Narrow"/>
              <w:sz w:val="18"/>
              <w:szCs w:val="18"/>
            </w:rPr>
          </w:pPr>
          <w:r>
            <w:rPr>
              <w:rFonts w:ascii="Calibri Light" w:cs="Arial" w:hAnsi="Calibri Light"/>
              <w:sz w:val="16"/>
              <w:szCs w:val="16"/>
            </w:rPr>
            <w:t>Tél. : (212) 05 37 57 73 72 – Fax (212) 05 37 57 72 22 / 57 73 73 / 57 74 44</w:t>
          </w:r>
        </w:p>
      </w:tc>
    </w:tr>
  </w:tbl>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4EC84C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cs="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cs="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cs="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0000001"/>
    <w:multiLevelType w:val="hybridMultilevel"/>
    <w:tmpl w:val="E4EA9100"/>
    <w:lvl w:ilvl="0" w:tplc="040C000D">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AC47E84"/>
    <w:lvl w:ilvl="0" w:tplc="C3CAB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4D54EA1A"/>
    <w:lvl w:ilvl="0" w:tplc="DC728C34">
      <w:start w:val="1"/>
      <w:numFmt w:val="bullet"/>
      <w:lvlText w:val=""/>
      <w:lvlJc w:val="left"/>
      <w:pPr>
        <w:ind w:left="720" w:hanging="360"/>
      </w:pPr>
      <w:rPr>
        <w:rFonts w:ascii="Wingdings" w:cs="Wingdings" w:hAnsi="Wingdings" w:hint="default"/>
        <w:u w:color="70ad47"/>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C76CF1B6"/>
    <w:lvl w:ilvl="0" w:tplc="A5D8CB2A">
      <w:start w:val="1"/>
      <w:numFmt w:val="bullet"/>
      <w:lvlText w:val="-"/>
      <w:lvlJc w:val="left"/>
      <w:pPr>
        <w:ind w:left="720" w:hanging="360"/>
      </w:pPr>
      <w:rPr>
        <w:rFonts w:ascii="Calibri" w:cs="Calibri" w:eastAsia="Calibri" w:hAnsi="Calibri"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388469C0"/>
    <w:lvl w:ilvl="0" w:tplc="040C000D">
      <w:start w:val="1"/>
      <w:numFmt w:val="bullet"/>
      <w:lvlText w:val=""/>
      <w:lvlJc w:val="left"/>
      <w:pPr>
        <w:ind w:left="2190" w:hanging="360"/>
      </w:pPr>
      <w:rPr>
        <w:rFonts w:ascii="Wingdings" w:hAnsi="Wingdings" w:hint="default"/>
      </w:rPr>
    </w:lvl>
    <w:lvl w:ilvl="1" w:tplc="040C0003" w:tentative="1">
      <w:start w:val="1"/>
      <w:numFmt w:val="bullet"/>
      <w:lvlText w:val="o"/>
      <w:lvlJc w:val="left"/>
      <w:pPr>
        <w:ind w:left="2910" w:hanging="360"/>
      </w:pPr>
      <w:rPr>
        <w:rFonts w:ascii="Courier New" w:cs="Courier New" w:hAnsi="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cs="Courier New" w:hAnsi="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cs="Courier New" w:hAnsi="Courier New" w:hint="default"/>
      </w:rPr>
    </w:lvl>
    <w:lvl w:ilvl="8" w:tplc="040C0005" w:tentative="1">
      <w:start w:val="1"/>
      <w:numFmt w:val="bullet"/>
      <w:lvlText w:val=""/>
      <w:lvlJc w:val="left"/>
      <w:pPr>
        <w:ind w:left="795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fr-FR"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pPr>
      <w:tabs>
        <w:tab w:val="center" w:leader="none" w:pos="4536"/>
        <w:tab w:val="right" w:leader="none" w:pos="9072"/>
      </w:tabs>
      <w:spacing w:after="0" w:lineRule="auto" w:line="240"/>
    </w:pPr>
    <w:rPr/>
  </w:style>
  <w:style w:type="character" w:customStyle="1" w:styleId="style4097">
    <w:name w:val="En-tête Car"/>
    <w:basedOn w:val="style65"/>
    <w:next w:val="style4097"/>
    <w:link w:val="style31"/>
  </w:style>
  <w:style w:type="paragraph" w:styleId="style32">
    <w:name w:val="footer"/>
    <w:basedOn w:val="style0"/>
    <w:next w:val="style32"/>
    <w:link w:val="style4098"/>
    <w:uiPriority w:val="99"/>
    <w:pPr>
      <w:tabs>
        <w:tab w:val="center" w:leader="none" w:pos="4536"/>
        <w:tab w:val="right" w:leader="none" w:pos="9072"/>
      </w:tabs>
      <w:spacing w:after="0" w:lineRule="auto" w:line="240"/>
    </w:pPr>
    <w:rPr/>
  </w:style>
  <w:style w:type="character" w:customStyle="1" w:styleId="style4098">
    <w:name w:val="Pied de page Car"/>
    <w:basedOn w:val="style65"/>
    <w:next w:val="style4098"/>
    <w:link w:val="style32"/>
    <w:uiPriority w:val="99"/>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9"/>
    <w:uiPriority w:val="99"/>
    <w:pPr>
      <w:spacing w:after="0" w:lineRule="auto" w:line="240"/>
    </w:pPr>
    <w:rPr>
      <w:rFonts w:ascii="Segoe UI" w:cs="Segoe UI" w:hAnsi="Segoe UI"/>
      <w:sz w:val="18"/>
      <w:szCs w:val="18"/>
    </w:rPr>
  </w:style>
  <w:style w:type="character" w:customStyle="1" w:styleId="style4099">
    <w:name w:val="Texte de bulles Car"/>
    <w:basedOn w:val="style65"/>
    <w:next w:val="style4099"/>
    <w:link w:val="style153"/>
    <w:uiPriority w:val="99"/>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emf"/><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717</Words>
  <Pages>2</Pages>
  <Characters>4105</Characters>
  <Application>WPS Office</Application>
  <DocSecurity>0</DocSecurity>
  <Paragraphs>33</Paragraphs>
  <ScaleCrop>false</ScaleCrop>
  <LinksUpToDate>false</LinksUpToDate>
  <CharactersWithSpaces>4811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2022-05-05T12:42:00Z</dcterms:created>
  <dc:creator>Naoual SERRAJ</dc:creator>
  <lastModifiedBy>CPH2237</lastModifiedBy>
  <lastPrinted>2022-05-05T11:03:00Z</lastPrinted>
  <dcterms:modified xsi:type="dcterms:W3CDTF">2022-05-05T12:47:15Z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75069a227003423590b2d3172297f75f</vt:lpwstr>
  </property>
</Properties>
</file>