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sz w:val="18"/>
          <w:szCs w:val="18"/>
        </w:rPr>
        <w:t>Royaume du Maroc</w:t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2533650</wp:posOffset>
            </wp:positionH>
            <wp:positionV relativeFrom="paragraph">
              <wp:posOffset>115570</wp:posOffset>
            </wp:positionV>
            <wp:extent cx="640078" cy="662940"/>
            <wp:effectExtent l="0" t="0" r="7620" b="3810"/>
            <wp:wrapSquare wrapText="bothSides"/>
            <wp:docPr id="1026" name="Image 12" descr="Description : Description : 1589670226_small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8664" t="6604" r="9717" b="11320"/>
                    <a:stretch/>
                  </pic:blipFill>
                  <pic:spPr>
                    <a:xfrm rot="0">
                      <a:off x="0" y="0"/>
                      <a:ext cx="640078" cy="6629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sz w:val="18"/>
          <w:szCs w:val="18"/>
        </w:rPr>
        <w:t>Ministère de l’Aménagement du Territoire National,</w:t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jc w:val="center"/>
        <w:rPr>
          <w:rFonts w:ascii="Arial" w:eastAsia="Times New Roman" w:hAnsi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sz w:val="18"/>
          <w:szCs w:val="18"/>
        </w:rPr>
        <w:t>de</w:t>
      </w:r>
      <w:r>
        <w:rPr>
          <w:rFonts w:ascii="Arial" w:eastAsia="Times New Roman" w:hAnsi="Arial"/>
          <w:b/>
          <w:bCs/>
          <w:sz w:val="18"/>
          <w:szCs w:val="18"/>
        </w:rPr>
        <w:t xml:space="preserve"> l’Urbanisme, de l’Habitat et de la Politique de la Ville</w:t>
      </w:r>
    </w:p>
    <w:p>
      <w:pPr>
        <w:pStyle w:val="style0"/>
        <w:spacing w:after="0" w:lineRule="auto" w:line="240"/>
        <w:ind w:left="851"/>
        <w:jc w:val="center"/>
        <w:rPr>
          <w:rFonts w:ascii="Arial" w:eastAsia="Times New Roman" w:hAnsi="Arial"/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1758315</wp:posOffset>
                </wp:positionH>
                <wp:positionV relativeFrom="paragraph">
                  <wp:posOffset>85089</wp:posOffset>
                </wp:positionV>
                <wp:extent cx="2004060" cy="0"/>
                <wp:effectExtent l="0" t="0" r="15240" b="19050"/>
                <wp:wrapNone/>
                <wp:docPr id="1027" name="Connecteur droit avec flèch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04060" cy="0"/>
                        </a:xfrm>
                        <a:prstGeom prst="straightConnector1"/>
                        <a:ln cmpd="sng" cap="flat" w="12700">
                          <a:solidFill>
                            <a:srgbClr val="00b05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138.45pt;margin-top:6.7pt;width:157.8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00b050" weight="1.0pt"/>
                <v:fill/>
              </v:shape>
            </w:pict>
          </mc:Fallback>
        </mc:AlternateContent>
      </w:r>
    </w:p>
    <w:p>
      <w:pPr>
        <w:pStyle w:val="style0"/>
        <w:shd w:val="clear" w:color="auto" w:fill="ffffff"/>
        <w:spacing w:after="0" w:lineRule="auto" w:line="240"/>
        <w:jc w:val="center"/>
        <w:outlineLvl w:val="0"/>
        <w:rPr>
          <w:rFonts w:cs="Calibri" w:eastAsia="Times New Roman"/>
          <w:b/>
          <w:bCs/>
          <w:kern w:val="36"/>
          <w:sz w:val="28"/>
          <w:szCs w:val="28"/>
          <w:lang w:eastAsia="fr-FR"/>
        </w:rPr>
      </w:pPr>
      <w:r>
        <w:rPr>
          <w:rFonts w:cs="Calibri" w:eastAsia="Times New Roman"/>
          <w:b/>
          <w:bCs/>
          <w:kern w:val="36"/>
          <w:sz w:val="28"/>
          <w:szCs w:val="28"/>
          <w:lang w:eastAsia="fr-FR"/>
        </w:rPr>
        <w:t>COMMUNIQUE DE PRESSE</w:t>
      </w:r>
    </w:p>
    <w:p>
      <w:pPr>
        <w:pStyle w:val="style0"/>
        <w:jc w:val="center"/>
        <w:rPr>
          <w:rFonts w:cs="Calibri" w:eastAsia="Times New Roman"/>
          <w:b/>
          <w:bCs/>
          <w:color w:val="548dd4"/>
          <w:kern w:val="36"/>
          <w:sz w:val="28"/>
          <w:szCs w:val="28"/>
          <w:lang w:eastAsia="fr-FR"/>
        </w:rPr>
      </w:pPr>
    </w:p>
    <w:p>
      <w:pPr>
        <w:pStyle w:val="style0"/>
        <w:jc w:val="center"/>
        <w:rPr>
          <w:b/>
          <w:bCs/>
          <w:color w:val="c00000"/>
          <w:sz w:val="28"/>
          <w:szCs w:val="28"/>
        </w:rPr>
      </w:pPr>
      <w:r>
        <w:rPr>
          <w:rFonts w:cs="Calibri" w:eastAsia="Times New Roman"/>
          <w:b/>
          <w:bCs/>
          <w:color w:val="548dd4"/>
          <w:kern w:val="36"/>
          <w:sz w:val="28"/>
          <w:szCs w:val="28"/>
          <w:lang w:eastAsia="fr-FR"/>
        </w:rPr>
        <w:t>Réunion avec les Agences Urbaines</w:t>
      </w:r>
      <w:r>
        <w:rPr>
          <w:rFonts w:cs="Calibri" w:eastAsia="Times New Roman"/>
          <w:b/>
          <w:bCs/>
          <w:color w:val="548dd4"/>
          <w:kern w:val="36"/>
          <w:sz w:val="28"/>
          <w:szCs w:val="28"/>
          <w:lang w:eastAsia="fr-FR"/>
        </w:rPr>
        <w:t xml:space="preserve"> </w:t>
      </w:r>
      <w:r>
        <w:rPr>
          <w:rFonts w:cs="Calibri" w:eastAsia="Times New Roman"/>
          <w:b/>
          <w:bCs/>
          <w:color w:val="548dd4"/>
          <w:kern w:val="36"/>
          <w:sz w:val="28"/>
          <w:szCs w:val="28"/>
          <w:lang w:eastAsia="fr-FR"/>
        </w:rPr>
        <w:t>sur le bilan 2020</w:t>
      </w:r>
      <w:bookmarkStart w:id="0" w:name="_GoBack"/>
      <w:bookmarkEnd w:id="0"/>
      <w:r>
        <w:rPr>
          <w:rFonts w:cs="Calibri" w:eastAsia="Times New Roman"/>
          <w:b/>
          <w:bCs/>
          <w:color w:val="548dd4"/>
          <w:kern w:val="36"/>
          <w:sz w:val="28"/>
          <w:szCs w:val="28"/>
          <w:lang w:eastAsia="fr-FR"/>
        </w:rPr>
        <w:t xml:space="preserve"> et les perspectives 2021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Dans le cadre de la mise en œuvre des Hautes Orientations Royales visant une relance économique résiliente  et durable, Madame </w:t>
      </w:r>
      <w:r>
        <w:rPr>
          <w:sz w:val="28"/>
          <w:szCs w:val="28"/>
        </w:rPr>
        <w:t>Nouzha</w:t>
      </w:r>
      <w:r>
        <w:rPr>
          <w:sz w:val="28"/>
          <w:szCs w:val="28"/>
        </w:rPr>
        <w:t xml:space="preserve"> BOUCHAREB, Ministre de l’Aménagement du Territoire National, de l’Urbanisme, de l’Habitat et de la Politique de la Ville a initié une série de </w:t>
      </w:r>
      <w:r>
        <w:rPr>
          <w:sz w:val="28"/>
          <w:szCs w:val="28"/>
        </w:rPr>
        <w:t>réunions</w:t>
      </w:r>
      <w:r>
        <w:rPr>
          <w:sz w:val="28"/>
          <w:szCs w:val="28"/>
        </w:rPr>
        <w:t xml:space="preserve"> de travail avec les entités du Ministère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afin 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dresser le </w:t>
      </w:r>
      <w:r>
        <w:rPr>
          <w:sz w:val="28"/>
          <w:szCs w:val="28"/>
        </w:rPr>
        <w:t xml:space="preserve">bilan de l’année 2020 et les perspectives </w:t>
      </w:r>
      <w:r>
        <w:rPr>
          <w:sz w:val="28"/>
          <w:szCs w:val="28"/>
        </w:rPr>
        <w:t>de</w:t>
      </w:r>
      <w:r>
        <w:rPr>
          <w:sz w:val="28"/>
          <w:szCs w:val="28"/>
        </w:rPr>
        <w:t xml:space="preserve"> 2021.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première rencontre a été </w:t>
      </w:r>
      <w:r>
        <w:rPr>
          <w:sz w:val="28"/>
          <w:szCs w:val="28"/>
        </w:rPr>
        <w:t>dédi</w:t>
      </w:r>
      <w:r>
        <w:rPr>
          <w:sz w:val="28"/>
          <w:szCs w:val="28"/>
        </w:rPr>
        <w:t xml:space="preserve">ée </w:t>
      </w:r>
      <w:r>
        <w:rPr>
          <w:sz w:val="28"/>
          <w:szCs w:val="28"/>
        </w:rPr>
        <w:t>aux</w:t>
      </w:r>
      <w:r>
        <w:rPr>
          <w:sz w:val="28"/>
          <w:szCs w:val="28"/>
        </w:rPr>
        <w:t xml:space="preserve"> 29 Agences urbaines</w:t>
      </w:r>
      <w:r>
        <w:rPr>
          <w:sz w:val="28"/>
          <w:szCs w:val="28"/>
        </w:rPr>
        <w:t xml:space="preserve"> afin de mieux répondre aux attentes des citoyens et des investisseurs et améliorer le climat des affaires.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Digitalisation, simplification des procédures, relance de l’investissement…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Cette réunion était une occasion pour mettre en avant l</w:t>
      </w:r>
      <w:r>
        <w:rPr>
          <w:sz w:val="28"/>
          <w:szCs w:val="28"/>
        </w:rPr>
        <w:t xml:space="preserve">a continuité du service public depuis le confinement à ce jour grâce à </w:t>
      </w:r>
      <w:r>
        <w:rPr>
          <w:sz w:val="28"/>
          <w:szCs w:val="28"/>
        </w:rPr>
        <w:t xml:space="preserve">la mobilisation de toutes les forces vives et </w:t>
      </w:r>
      <w:r>
        <w:rPr>
          <w:sz w:val="28"/>
          <w:szCs w:val="28"/>
        </w:rPr>
        <w:t xml:space="preserve">la généralisation de la </w:t>
      </w:r>
      <w:r>
        <w:rPr>
          <w:sz w:val="28"/>
          <w:szCs w:val="28"/>
        </w:rPr>
        <w:t>dématérialisation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Les 19 e-services lancés ont permis de maintenir le service </w:t>
      </w:r>
      <w:r>
        <w:rPr>
          <w:sz w:val="28"/>
          <w:szCs w:val="28"/>
        </w:rPr>
        <w:t xml:space="preserve">à hauteur </w:t>
      </w:r>
      <w:r>
        <w:rPr>
          <w:sz w:val="28"/>
          <w:szCs w:val="28"/>
        </w:rPr>
        <w:t xml:space="preserve">de 33% au 23 mars 2020 </w:t>
      </w:r>
      <w:r>
        <w:rPr>
          <w:sz w:val="28"/>
          <w:szCs w:val="28"/>
        </w:rPr>
        <w:t>pour atteindre</w:t>
      </w:r>
      <w:r>
        <w:rPr>
          <w:sz w:val="28"/>
          <w:szCs w:val="28"/>
        </w:rPr>
        <w:t xml:space="preserve"> 96% au 19 décembre 2020. </w:t>
      </w:r>
      <w:r>
        <w:rPr>
          <w:sz w:val="28"/>
          <w:szCs w:val="28"/>
        </w:rPr>
        <w:t>Ce qui a permis d’atténuer l’impact de la crise sanitaire sur le secteur de l’habitat et de l’urbanisme. Ainsi, l</w:t>
      </w:r>
      <w:r>
        <w:rPr>
          <w:sz w:val="28"/>
          <w:szCs w:val="28"/>
        </w:rPr>
        <w:t xml:space="preserve">es dossiers instruits par les agences urbaines en 2020 ont totalisé environ 76.000, soit moins 25% par rapport à 2019, dont 69% ont reçu un avis favorable.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En ce qui concerne 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es délais d'instruction de dossiers d’autorisation par les AU, </w:t>
      </w:r>
      <w:r>
        <w:rPr>
          <w:sz w:val="28"/>
          <w:szCs w:val="28"/>
        </w:rPr>
        <w:t xml:space="preserve">les mesures prises ont permis de réduire </w:t>
      </w:r>
      <w:r>
        <w:rPr>
          <w:sz w:val="28"/>
          <w:szCs w:val="28"/>
        </w:rPr>
        <w:t>la durée moyenne à 1 journée pour les petits projets et à 5 jours pour les grands projets.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ussi, a</w:t>
      </w:r>
      <w:r>
        <w:rPr>
          <w:sz w:val="28"/>
          <w:szCs w:val="28"/>
        </w:rPr>
        <w:t>fin de redynamiser l’investissement et maintenir l</w:t>
      </w:r>
      <w:r>
        <w:rPr>
          <w:sz w:val="28"/>
          <w:szCs w:val="28"/>
        </w:rPr>
        <w:t>es emplois, l’initiative «Casier Zéro</w:t>
      </w:r>
      <w:r>
        <w:rPr>
          <w:sz w:val="28"/>
          <w:szCs w:val="28"/>
        </w:rPr>
        <w:t xml:space="preserve">» visant le </w:t>
      </w:r>
      <w:r>
        <w:rPr>
          <w:sz w:val="28"/>
          <w:szCs w:val="28"/>
        </w:rPr>
        <w:t xml:space="preserve">réexamen des grands projets en souffrance, </w:t>
      </w:r>
      <w:r>
        <w:rPr>
          <w:sz w:val="28"/>
          <w:szCs w:val="28"/>
        </w:rPr>
        <w:t>initiée en mai dernier, a permis le traitement de 2879 projets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dont 1500 (soit 52%), ont reçu un avis favorable. Un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opération qui contribuera à générer un </w:t>
      </w:r>
      <w:r>
        <w:rPr>
          <w:sz w:val="28"/>
          <w:szCs w:val="28"/>
        </w:rPr>
        <w:t xml:space="preserve">investissement global de 12,41 milliards de DH et la création de près de 50000 emplois directs.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Toujours dans le cadre de la relance de l’investissement, l’opération lancée ciblant les </w:t>
      </w:r>
      <w:r>
        <w:rPr>
          <w:sz w:val="28"/>
          <w:szCs w:val="28"/>
        </w:rPr>
        <w:t>lotissements qui connaissent des difficultés de réception des</w:t>
      </w:r>
      <w:r>
        <w:rPr>
          <w:sz w:val="28"/>
          <w:szCs w:val="28"/>
        </w:rPr>
        <w:t xml:space="preserve"> travaux,  </w:t>
      </w:r>
      <w:r>
        <w:rPr>
          <w:sz w:val="28"/>
          <w:szCs w:val="28"/>
        </w:rPr>
        <w:t xml:space="preserve">2633 lotissements et groupements d’habitations </w:t>
      </w:r>
      <w:r>
        <w:rPr>
          <w:sz w:val="28"/>
          <w:szCs w:val="28"/>
        </w:rPr>
        <w:t>ont été identifiés et remis sur les rails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Ces projets totalisent près de 180.000 lots, soit un </w:t>
      </w:r>
      <w:r>
        <w:rPr>
          <w:sz w:val="28"/>
          <w:szCs w:val="28"/>
        </w:rPr>
        <w:t>invest</w:t>
      </w:r>
      <w:r>
        <w:rPr>
          <w:sz w:val="28"/>
          <w:szCs w:val="28"/>
        </w:rPr>
        <w:t>issement potentiel</w:t>
      </w:r>
      <w:r>
        <w:rPr>
          <w:sz w:val="28"/>
          <w:szCs w:val="28"/>
        </w:rPr>
        <w:t xml:space="preserve"> de 31,3 </w:t>
      </w:r>
      <w:r>
        <w:rPr>
          <w:sz w:val="28"/>
          <w:szCs w:val="28"/>
        </w:rPr>
        <w:t xml:space="preserve">milliards de </w:t>
      </w:r>
      <w:r>
        <w:rPr>
          <w:sz w:val="28"/>
          <w:szCs w:val="28"/>
        </w:rPr>
        <w:t>DH.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Aussi la planification urbaine n’a pas été freinée par la crise liée à la Covid-19. En matière de</w:t>
      </w:r>
      <w:r>
        <w:rPr>
          <w:sz w:val="28"/>
          <w:szCs w:val="28"/>
        </w:rPr>
        <w:t xml:space="preserve"> couverture en documents d’urbanisme,  112 documents d’urbanisme ont été homologués</w:t>
      </w:r>
      <w:r>
        <w:rPr>
          <w:sz w:val="28"/>
          <w:szCs w:val="28"/>
        </w:rPr>
        <w:t xml:space="preserve"> à fin 2020</w:t>
      </w:r>
      <w:r>
        <w:rPr>
          <w:sz w:val="28"/>
          <w:szCs w:val="28"/>
        </w:rPr>
        <w:t xml:space="preserve">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Démocratisation de l’information, </w:t>
      </w:r>
      <w:r>
        <w:rPr>
          <w:b/>
          <w:bCs/>
          <w:sz w:val="28"/>
          <w:szCs w:val="28"/>
        </w:rPr>
        <w:t>Amélioration des conditions de la vie</w:t>
      </w:r>
      <w:r>
        <w:rPr>
          <w:b/>
          <w:bCs/>
          <w:sz w:val="28"/>
          <w:szCs w:val="28"/>
        </w:rPr>
        <w:t xml:space="preserve"> des citoyens</w:t>
      </w:r>
      <w:r>
        <w:rPr>
          <w:b/>
          <w:bCs/>
          <w:sz w:val="28"/>
          <w:szCs w:val="28"/>
        </w:rPr>
        <w:t>…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Conscient de l’importance de la démocratisation de l’information territoriale dans le développement territorial pour informer les décideurs et le grand public et participer à redynamiser l’investissement, le Ministère a œuvré pour </w:t>
      </w:r>
      <w:r>
        <w:rPr>
          <w:sz w:val="28"/>
          <w:szCs w:val="28"/>
        </w:rPr>
        <w:t>la mise en ligne des documents d’urbanisme homologués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via le lien </w:t>
      </w:r>
      <w:r>
        <w:rPr/>
        <w:fldChar w:fldCharType="begin"/>
      </w:r>
      <w:r>
        <w:instrText xml:space="preserve"> HYPERLINK "https://geoportail.marocurba.gov.ma/" </w:instrText>
      </w:r>
      <w:r>
        <w:rPr/>
        <w:fldChar w:fldCharType="separate"/>
      </w:r>
      <w:r>
        <w:rPr>
          <w:rStyle w:val="style85"/>
          <w:sz w:val="28"/>
          <w:szCs w:val="28"/>
        </w:rPr>
        <w:t>https://geoportail.marocurba.gov.ma/</w:t>
      </w:r>
      <w:r>
        <w:rPr/>
        <w:fldChar w:fldCharType="end"/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>
        <w:rPr>
          <w:sz w:val="28"/>
          <w:szCs w:val="28"/>
        </w:rPr>
        <w:t>améliorer le cadre de vie</w:t>
      </w:r>
      <w:r>
        <w:rPr>
          <w:sz w:val="28"/>
          <w:szCs w:val="28"/>
        </w:rPr>
        <w:t xml:space="preserve"> des citoyens issus du </w:t>
      </w:r>
      <w:r>
        <w:rPr>
          <w:sz w:val="28"/>
          <w:szCs w:val="28"/>
        </w:rPr>
        <w:t xml:space="preserve">monde rural,  </w:t>
      </w:r>
      <w:r>
        <w:rPr>
          <w:sz w:val="28"/>
          <w:szCs w:val="28"/>
        </w:rPr>
        <w:t>le</w:t>
      </w:r>
      <w:r>
        <w:rPr>
          <w:sz w:val="28"/>
          <w:szCs w:val="28"/>
        </w:rPr>
        <w:t>s Agences urbaines ont instruit</w:t>
      </w:r>
      <w:r>
        <w:rPr>
          <w:sz w:val="28"/>
          <w:szCs w:val="28"/>
        </w:rPr>
        <w:t xml:space="preserve"> au cours de 2020, </w:t>
      </w:r>
      <w:r>
        <w:rPr>
          <w:sz w:val="28"/>
          <w:szCs w:val="28"/>
        </w:rPr>
        <w:t>21168 dossiers</w:t>
      </w:r>
      <w:r>
        <w:rPr>
          <w:sz w:val="28"/>
          <w:szCs w:val="28"/>
        </w:rPr>
        <w:t xml:space="preserve"> représentant de la demande nationale.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Sur ce total, 76,5% ont reçu des avis favorables, dont 82% concernent des projets sur une superficie de moins de 5000 m².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Lors de cette rencontre, Madame la Ministre a insisté sur les priorités de 2021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</w:rPr>
        <w:t>es contrats-programmes seront signés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avec toutes les entités du ministère au niveau de chaque région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afin de préserver les acquis, améliorer le service public au profit des citoyens et des investisseurs, simplifier les procédures et </w:t>
      </w:r>
      <w:r>
        <w:rPr>
          <w:sz w:val="28"/>
          <w:szCs w:val="28"/>
        </w:rPr>
        <w:t>créer de la richesse. S</w:t>
      </w:r>
      <w:r>
        <w:rPr>
          <w:sz w:val="28"/>
          <w:szCs w:val="28"/>
        </w:rPr>
        <w:t>es orientations ont porté sur l’accélération du processus de la dématérialisation, la prolongation de l’opération «casier zéro» à fin mars prochain, l’</w:t>
      </w:r>
      <w:r>
        <w:rPr>
          <w:sz w:val="28"/>
          <w:szCs w:val="28"/>
        </w:rPr>
        <w:t>accompagnement des grands projets d’habitat menés par le Ministère notamment les logements sociaux, l’amélioration de l’écoute des territoires et des délais de traitement des dossiers, la récupération du gap perdu</w:t>
      </w:r>
      <w:r>
        <w:rPr>
          <w:sz w:val="28"/>
          <w:szCs w:val="28"/>
        </w:rPr>
        <w:t xml:space="preserve"> (moins de 25% de dossiers instruits </w:t>
      </w:r>
      <w:r>
        <w:rPr>
          <w:sz w:val="28"/>
          <w:szCs w:val="28"/>
        </w:rPr>
        <w:t>en</w:t>
      </w:r>
      <w:r>
        <w:rPr>
          <w:sz w:val="28"/>
          <w:szCs w:val="28"/>
        </w:rPr>
        <w:t xml:space="preserve"> 2020) ainsi que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>
        <w:rPr>
          <w:sz w:val="28"/>
          <w:szCs w:val="28"/>
        </w:rPr>
        <w:t>couverture des territoires en documents d’urbanisme.</w:t>
      </w:r>
      <w:r>
        <w:rPr>
          <w:sz w:val="28"/>
          <w:szCs w:val="28"/>
        </w:rPr>
        <w:t xml:space="preserve"> 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649</Words>
  <Pages>2</Pages>
  <Characters>3526</Characters>
  <Application>WPS Office</Application>
  <DocSecurity>0</DocSecurity>
  <Paragraphs>24</Paragraphs>
  <ScaleCrop>false</ScaleCrop>
  <LinksUpToDate>false</LinksUpToDate>
  <CharactersWithSpaces>4170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2021-01-05T18:18:51Z</dcterms:created>
  <dc:creator>DREF Nadia</dc:creator>
  <lastModifiedBy>CPH1823</lastModifiedBy>
  <lastPrinted>2021-01-05T17:41:00Z</lastPrinted>
  <dcterms:modified xsi:type="dcterms:W3CDTF">2021-01-05T18:18:51Z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